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3D45CDE" w14:textId="77777777" w:rsidR="00A876B0" w:rsidRDefault="00A876B0">
      <w:pPr>
        <w:spacing w:before="0" w:after="0" w:line="276" w:lineRule="auto"/>
        <w:rPr>
          <w:rFonts w:ascii="Arial" w:eastAsia="Arial" w:hAnsi="Arial" w:cs="Arial"/>
          <w:i/>
          <w:color w:val="000000"/>
          <w:sz w:val="36"/>
          <w:szCs w:val="36"/>
        </w:rPr>
      </w:pPr>
    </w:p>
    <w:p w14:paraId="04FB6135" w14:textId="35A889D6" w:rsidR="00A876B0" w:rsidRDefault="00000000">
      <w:pPr>
        <w:pStyle w:val="Heading4"/>
        <w:spacing w:after="0" w:line="276" w:lineRule="auto"/>
        <w:jc w:val="center"/>
      </w:pPr>
      <w:bookmarkStart w:id="0" w:name="_u0qu495bbtya" w:colFirst="0" w:colLast="0"/>
      <w:bookmarkEnd w:id="0"/>
      <w:r>
        <w:br/>
      </w:r>
      <w:r w:rsidR="00C076EF">
        <w:rPr>
          <w:noProof/>
        </w:rPr>
        <w:drawing>
          <wp:inline distT="0" distB="0" distL="0" distR="0" wp14:anchorId="1DBCA711" wp14:editId="516F625D">
            <wp:extent cx="1733550" cy="1800225"/>
            <wp:effectExtent l="0" t="0" r="0" b="9525"/>
            <wp:docPr id="2074446561" name="Picture 13" descr="A green and white striped fabr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4446561" name="Picture 13" descr="A green and white striped fabric&#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1737471" cy="1804297"/>
                    </a:xfrm>
                    <a:prstGeom prst="rect">
                      <a:avLst/>
                    </a:prstGeom>
                  </pic:spPr>
                </pic:pic>
              </a:graphicData>
            </a:graphic>
          </wp:inline>
        </w:drawing>
      </w:r>
    </w:p>
    <w:p w14:paraId="3ACCD657" w14:textId="77777777" w:rsidR="00A876B0" w:rsidRDefault="00A876B0">
      <w:pPr>
        <w:pStyle w:val="Title"/>
        <w:spacing w:after="0" w:line="276" w:lineRule="auto"/>
      </w:pPr>
      <w:bookmarkStart w:id="1" w:name="_mj1irgawlkle" w:colFirst="0" w:colLast="0"/>
      <w:bookmarkStart w:id="2" w:name="_su4pjkasm7sj" w:colFirst="0" w:colLast="0"/>
      <w:bookmarkEnd w:id="1"/>
      <w:bookmarkEnd w:id="2"/>
    </w:p>
    <w:p w14:paraId="5F47A843" w14:textId="371687B6" w:rsidR="00A876B0" w:rsidRPr="00C076EF" w:rsidRDefault="00C076EF">
      <w:pPr>
        <w:pStyle w:val="Title"/>
        <w:spacing w:after="0" w:line="276" w:lineRule="auto"/>
        <w:jc w:val="center"/>
        <w:rPr>
          <w:sz w:val="38"/>
          <w:szCs w:val="38"/>
        </w:rPr>
      </w:pPr>
      <w:r w:rsidRPr="00C076EF">
        <w:rPr>
          <w:b/>
          <w:color w:val="9BBB59" w:themeColor="accent3"/>
          <w:sz w:val="130"/>
          <w:szCs w:val="130"/>
          <w:shd w:val="clear" w:color="auto" w:fill="FDE5FF"/>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ZEN</w:t>
      </w:r>
      <w:r w:rsidR="00C81944" w:rsidRPr="00C076EF">
        <w:rPr>
          <w:b/>
          <w:color w:val="9BBB59" w:themeColor="accent3"/>
          <w:sz w:val="130"/>
          <w:szCs w:val="130"/>
          <w:shd w:val="clear" w:color="auto" w:fill="FDE5FF"/>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FIN</w:t>
      </w:r>
      <w:r w:rsidR="00166D0B" w:rsidRPr="00C076EF">
        <w:rPr>
          <w:b/>
          <w:color w:val="9BBB59" w:themeColor="accent3"/>
          <w:sz w:val="130"/>
          <w:szCs w:val="130"/>
          <w:shd w:val="clear" w:color="auto" w:fill="FDE5FF"/>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VE</w:t>
      </w:r>
      <w:r w:rsidRPr="00C076EF">
        <w:rPr>
          <w:b/>
          <w:color w:val="9BBB59" w:themeColor="accent3"/>
          <w:sz w:val="130"/>
          <w:szCs w:val="130"/>
          <w:shd w:val="clear" w:color="auto" w:fill="FDE5FF"/>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S</w:t>
      </w:r>
      <w:r w:rsidR="00166D0B" w:rsidRPr="00C076EF">
        <w:rPr>
          <w:b/>
          <w:color w:val="9BBB59" w:themeColor="accent3"/>
          <w:sz w:val="130"/>
          <w:szCs w:val="130"/>
          <w:shd w:val="clear" w:color="auto" w:fill="FDE5FF"/>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T</w:t>
      </w:r>
      <w:r w:rsidR="00C27D47" w:rsidRPr="00C076EF">
        <w:rPr>
          <w:color w:val="46034D"/>
          <w:sz w:val="38"/>
          <w:szCs w:val="38"/>
          <w:shd w:val="clear" w:color="auto" w:fill="FDE5FF"/>
        </w:rPr>
        <w:t xml:space="preserve"> </w:t>
      </w:r>
    </w:p>
    <w:p w14:paraId="5B0EF851" w14:textId="77777777" w:rsidR="00A876B0" w:rsidRDefault="00A876B0">
      <w:pPr>
        <w:pStyle w:val="Heading4"/>
        <w:spacing w:before="200" w:after="0" w:line="276" w:lineRule="auto"/>
      </w:pPr>
      <w:bookmarkStart w:id="3" w:name="_755uuyap8ipf" w:colFirst="0" w:colLast="0"/>
      <w:bookmarkEnd w:id="3"/>
    </w:p>
    <w:p w14:paraId="68591D6E" w14:textId="46F590F2" w:rsidR="00A876B0" w:rsidRDefault="00166D0B">
      <w:pPr>
        <w:pStyle w:val="Heading4"/>
        <w:spacing w:before="0" w:after="0" w:line="276" w:lineRule="auto"/>
        <w:jc w:val="center"/>
      </w:pPr>
      <w:bookmarkStart w:id="4" w:name="_j08z7phexbee" w:colFirst="0" w:colLast="0"/>
      <w:bookmarkEnd w:id="4"/>
      <w:r>
        <w:t xml:space="preserve">10 </w:t>
      </w:r>
      <w:proofErr w:type="spellStart"/>
      <w:r>
        <w:t>Pepperpot</w:t>
      </w:r>
      <w:proofErr w:type="spellEnd"/>
      <w:r>
        <w:t xml:space="preserve"> Walk Derby</w:t>
      </w:r>
    </w:p>
    <w:p w14:paraId="3DCAF547" w14:textId="21B9FAC1" w:rsidR="00A876B0" w:rsidRDefault="00166D0B">
      <w:pPr>
        <w:pStyle w:val="Heading4"/>
        <w:spacing w:before="0" w:after="0" w:line="276" w:lineRule="auto"/>
        <w:jc w:val="center"/>
      </w:pPr>
      <w:bookmarkStart w:id="5" w:name="_5fud755yk5po" w:colFirst="0" w:colLast="0"/>
      <w:bookmarkEnd w:id="5"/>
      <w:r>
        <w:t>07421357915</w:t>
      </w:r>
    </w:p>
    <w:p w14:paraId="2E308959" w14:textId="77777777" w:rsidR="00A876B0" w:rsidRDefault="00A876B0">
      <w:pPr>
        <w:pStyle w:val="Title"/>
        <w:spacing w:after="0" w:line="276" w:lineRule="auto"/>
      </w:pPr>
      <w:bookmarkStart w:id="6" w:name="_osu54xx9atdn" w:colFirst="0" w:colLast="0"/>
      <w:bookmarkEnd w:id="6"/>
    </w:p>
    <w:p w14:paraId="1711EC08" w14:textId="77777777" w:rsidR="00A876B0" w:rsidRDefault="00000000">
      <w:pPr>
        <w:pStyle w:val="Heading5"/>
        <w:spacing w:before="200" w:after="0" w:line="276" w:lineRule="auto"/>
        <w:jc w:val="center"/>
        <w:rPr>
          <w:color w:val="46034D"/>
        </w:rPr>
      </w:pPr>
      <w:bookmarkStart w:id="7" w:name="_sntwnq28huw4" w:colFirst="0" w:colLast="0"/>
      <w:bookmarkEnd w:id="7"/>
      <w:r>
        <w:rPr>
          <w:color w:val="46034D"/>
        </w:rPr>
        <w:t>Prepared By:</w:t>
      </w:r>
    </w:p>
    <w:p w14:paraId="2598BA70" w14:textId="573A7AF6" w:rsidR="00A876B0" w:rsidRPr="00166D0B" w:rsidRDefault="00166D0B">
      <w:pPr>
        <w:spacing w:after="0" w:line="276" w:lineRule="auto"/>
        <w:jc w:val="center"/>
        <w:rPr>
          <w:lang w:val="it-IT"/>
        </w:rPr>
      </w:pPr>
      <w:r w:rsidRPr="00166D0B">
        <w:rPr>
          <w:lang w:val="it-IT"/>
        </w:rPr>
        <w:t>Priyanthi Dassanayake -Founder</w:t>
      </w:r>
    </w:p>
    <w:p w14:paraId="6F3511C2" w14:textId="31145B29" w:rsidR="00A876B0" w:rsidRPr="00166D0B" w:rsidRDefault="00166D0B">
      <w:pPr>
        <w:spacing w:before="0" w:after="0" w:line="276" w:lineRule="auto"/>
        <w:jc w:val="center"/>
        <w:rPr>
          <w:i/>
          <w:color w:val="000000"/>
          <w:lang w:val="it-IT"/>
        </w:rPr>
      </w:pPr>
      <w:r w:rsidRPr="00166D0B">
        <w:rPr>
          <w:lang w:val="it-IT"/>
        </w:rPr>
        <w:t>pry@ho</w:t>
      </w:r>
      <w:r>
        <w:rPr>
          <w:lang w:val="it-IT"/>
        </w:rPr>
        <w:t>tmail.co.uk</w:t>
      </w:r>
    </w:p>
    <w:p w14:paraId="61F72CB8" w14:textId="77777777" w:rsidR="00A876B0" w:rsidRPr="00166D0B" w:rsidRDefault="00A876B0">
      <w:pPr>
        <w:rPr>
          <w:color w:val="000000"/>
          <w:lang w:val="it-IT"/>
        </w:rPr>
      </w:pPr>
    </w:p>
    <w:p w14:paraId="483B3CE9" w14:textId="2752CD66" w:rsidR="00A876B0" w:rsidRDefault="00000000">
      <w:bookmarkStart w:id="8" w:name="_zdc10vlzl0ma" w:colFirst="0" w:colLast="0"/>
      <w:bookmarkEnd w:id="8"/>
      <w:r>
        <w:rPr>
          <w:color w:val="000000"/>
        </w:rPr>
        <w:t xml:space="preserve"> </w:t>
      </w:r>
      <w:bookmarkStart w:id="9" w:name="_o5cn1lg435qv" w:colFirst="0" w:colLast="0"/>
      <w:bookmarkStart w:id="10" w:name="_2h7y2gz57vuz" w:colFirst="0" w:colLast="0"/>
      <w:bookmarkStart w:id="11" w:name="_jq4ibyl3h5th" w:colFirst="0" w:colLast="0"/>
      <w:bookmarkEnd w:id="9"/>
      <w:bookmarkEnd w:id="10"/>
      <w:bookmarkEnd w:id="11"/>
    </w:p>
    <w:tbl>
      <w:tblPr>
        <w:tblStyle w:val="a2"/>
        <w:tblW w:w="945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450"/>
      </w:tblGrid>
      <w:tr w:rsidR="00A876B0" w14:paraId="4668AD5A" w14:textId="77777777">
        <w:trPr>
          <w:trHeight w:val="1024"/>
          <w:jc w:val="center"/>
        </w:trPr>
        <w:tc>
          <w:tcPr>
            <w:tcW w:w="9450" w:type="dxa"/>
            <w:tcBorders>
              <w:top w:val="single" w:sz="18" w:space="0" w:color="46034D"/>
              <w:left w:val="single" w:sz="8" w:space="0" w:color="FEF2FF"/>
              <w:bottom w:val="single" w:sz="18" w:space="0" w:color="FEF2FF"/>
              <w:right w:val="single" w:sz="8" w:space="0" w:color="FDE5FF"/>
            </w:tcBorders>
            <w:shd w:val="clear" w:color="auto" w:fill="auto"/>
            <w:tcMar>
              <w:top w:w="-188" w:type="dxa"/>
              <w:left w:w="-188" w:type="dxa"/>
              <w:bottom w:w="-188" w:type="dxa"/>
              <w:right w:w="-188" w:type="dxa"/>
            </w:tcMar>
            <w:vAlign w:val="bottom"/>
          </w:tcPr>
          <w:p w14:paraId="239C8360" w14:textId="178B4471" w:rsidR="00A876B0" w:rsidRDefault="00000000">
            <w:pPr>
              <w:pStyle w:val="Heading4"/>
              <w:spacing w:before="0" w:after="0"/>
            </w:pPr>
            <w:r>
              <w:rPr>
                <w:color w:val="46034D"/>
              </w:rPr>
              <w:t>Company overview</w:t>
            </w:r>
            <w:r>
              <w:t xml:space="preserve"> </w:t>
            </w:r>
          </w:p>
        </w:tc>
      </w:tr>
    </w:tbl>
    <w:p w14:paraId="3C062731" w14:textId="400FFA3E" w:rsidR="004F67A8" w:rsidRPr="004F67A8" w:rsidRDefault="00C076EF" w:rsidP="004F67A8">
      <w:pPr>
        <w:pStyle w:val="Heading2"/>
        <w:spacing w:line="360" w:lineRule="auto"/>
        <w:jc w:val="both"/>
        <w:rPr>
          <w:noProof/>
          <w:color w:val="000000"/>
          <w:sz w:val="22"/>
          <w:szCs w:val="22"/>
        </w:rPr>
      </w:pPr>
      <w:bookmarkStart w:id="12" w:name="_1fk0v77mydki" w:colFirst="0" w:colLast="0"/>
      <w:bookmarkEnd w:id="12"/>
      <w:r>
        <w:rPr>
          <w:noProof/>
          <w:color w:val="000000"/>
          <w:sz w:val="22"/>
          <w:szCs w:val="22"/>
        </w:rPr>
        <w:t>ZENFINVEST</w:t>
      </w:r>
      <w:r w:rsidR="004F67A8" w:rsidRPr="004F67A8">
        <w:rPr>
          <w:noProof/>
          <w:color w:val="000000"/>
          <w:sz w:val="22"/>
          <w:szCs w:val="22"/>
        </w:rPr>
        <w:t xml:space="preserve"> is not just an investment opportunity, it's a mission. We aim to provide precise returns for the anticipated value and duration, even for those without the slightest knowledge of investment and finance. Our goal is to offer risk-free portfolio management, maintaining the end goal with 100% accuracy and precision. But our mission goes beyond that. We are here to support both the younger and older generations with investment opportunities, working towards eradicating poverty due to a lack of financial knowledge.</w:t>
      </w:r>
    </w:p>
    <w:p w14:paraId="531A68DA" w14:textId="77777777" w:rsidR="004F67A8" w:rsidRPr="004F67A8" w:rsidRDefault="004F67A8" w:rsidP="004F67A8">
      <w:pPr>
        <w:pStyle w:val="Heading2"/>
        <w:spacing w:line="360" w:lineRule="auto"/>
        <w:jc w:val="both"/>
        <w:rPr>
          <w:noProof/>
          <w:color w:val="000000"/>
          <w:sz w:val="22"/>
          <w:szCs w:val="22"/>
        </w:rPr>
      </w:pPr>
      <w:r w:rsidRPr="004F67A8">
        <w:rPr>
          <w:noProof/>
          <w:color w:val="000000"/>
          <w:sz w:val="22"/>
          <w:szCs w:val="22"/>
        </w:rPr>
        <w:t>The business focuses on increasing awareness of investments and protecting earnings from inflation. We apply strong and proven unpredictability management AI software to our customers' situations to continually improve our robust portfolio practices.</w:t>
      </w:r>
    </w:p>
    <w:p w14:paraId="37355C2C" w14:textId="77777777" w:rsidR="004F67A8" w:rsidRPr="004F67A8" w:rsidRDefault="004F67A8" w:rsidP="004F67A8">
      <w:pPr>
        <w:pStyle w:val="Heading2"/>
        <w:spacing w:line="360" w:lineRule="auto"/>
        <w:jc w:val="both"/>
        <w:rPr>
          <w:noProof/>
          <w:color w:val="000000"/>
          <w:sz w:val="22"/>
          <w:szCs w:val="22"/>
        </w:rPr>
      </w:pPr>
      <w:r w:rsidRPr="004F67A8">
        <w:rPr>
          <w:noProof/>
          <w:color w:val="000000"/>
          <w:sz w:val="22"/>
          <w:szCs w:val="22"/>
        </w:rPr>
        <w:t>We offer efficient buying and selling mechanisms and investment opportunities to increase individual portfolios to their desired amount for the anticipated due date.</w:t>
      </w:r>
    </w:p>
    <w:p w14:paraId="18BE8954" w14:textId="58CD98AA" w:rsidR="00A876B0" w:rsidRDefault="004F67A8" w:rsidP="004F67A8">
      <w:pPr>
        <w:pStyle w:val="Heading2"/>
        <w:spacing w:line="360" w:lineRule="auto"/>
        <w:jc w:val="both"/>
        <w:rPr>
          <w:color w:val="1CAA86"/>
          <w:shd w:val="clear" w:color="auto" w:fill="E5FFF9"/>
        </w:rPr>
      </w:pPr>
      <w:r w:rsidRPr="004F67A8">
        <w:rPr>
          <w:noProof/>
          <w:color w:val="000000"/>
          <w:sz w:val="22"/>
          <w:szCs w:val="22"/>
        </w:rPr>
        <w:t xml:space="preserve">Our main competitive advantage is our unique AI software, which eliminates the unpredictability of the fluctuations of the anticipated value and date. But it's not just the software that sets us apart. Our team, made up of experts and professionals in Deep learning, novel sequential data mining, and Self-organizing AI techniques, is what truly makes </w:t>
      </w:r>
      <w:r w:rsidR="00C076EF">
        <w:rPr>
          <w:noProof/>
          <w:color w:val="000000"/>
          <w:sz w:val="22"/>
          <w:szCs w:val="22"/>
        </w:rPr>
        <w:t>ZENFINVEST</w:t>
      </w:r>
      <w:r w:rsidRPr="004F67A8">
        <w:rPr>
          <w:noProof/>
          <w:color w:val="000000"/>
          <w:sz w:val="22"/>
          <w:szCs w:val="22"/>
        </w:rPr>
        <w:t xml:space="preserve"> stand out. Our flat organizational structure fosters open communication and collaboration, making us agile and responsible for our customers and the changing industry.</w:t>
      </w:r>
      <w:r>
        <w:br w:type="page"/>
      </w:r>
    </w:p>
    <w:tbl>
      <w:tblPr>
        <w:tblStyle w:val="a3"/>
        <w:tblW w:w="945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450"/>
      </w:tblGrid>
      <w:tr w:rsidR="00A876B0" w14:paraId="08309E21" w14:textId="77777777">
        <w:trPr>
          <w:trHeight w:val="1024"/>
          <w:jc w:val="center"/>
        </w:trPr>
        <w:tc>
          <w:tcPr>
            <w:tcW w:w="9450" w:type="dxa"/>
            <w:tcBorders>
              <w:top w:val="single" w:sz="18" w:space="0" w:color="46034D"/>
              <w:left w:val="single" w:sz="8" w:space="0" w:color="FEF2FF"/>
              <w:bottom w:val="single" w:sz="18" w:space="0" w:color="FEF2FF"/>
              <w:right w:val="single" w:sz="8" w:space="0" w:color="FDE5FF"/>
            </w:tcBorders>
            <w:shd w:val="clear" w:color="auto" w:fill="auto"/>
            <w:tcMar>
              <w:top w:w="-188" w:type="dxa"/>
              <w:left w:w="-188" w:type="dxa"/>
              <w:bottom w:w="-188" w:type="dxa"/>
              <w:right w:w="-188" w:type="dxa"/>
            </w:tcMar>
            <w:vAlign w:val="bottom"/>
          </w:tcPr>
          <w:bookmarkStart w:id="13" w:name="_oh5tnzjc6oif" w:colFirst="0" w:colLast="0"/>
          <w:bookmarkStart w:id="14" w:name="_42hkty4lr51e" w:colFirst="0" w:colLast="0"/>
          <w:bookmarkEnd w:id="13"/>
          <w:bookmarkEnd w:id="14"/>
          <w:p w14:paraId="1D8165F1" w14:textId="41B88AA2" w:rsidR="00A876B0" w:rsidRDefault="00000000">
            <w:pPr>
              <w:pStyle w:val="Heading4"/>
              <w:spacing w:before="0" w:after="0"/>
            </w:pPr>
            <w:r>
              <w:rPr>
                <w:noProof/>
              </w:rPr>
              <w:lastRenderedPageBreak/>
              <mc:AlternateContent>
                <mc:Choice Requires="wps">
                  <w:drawing>
                    <wp:anchor distT="114300" distB="114300" distL="114300" distR="114300" simplePos="0" relativeHeight="251660288" behindDoc="1" locked="0" layoutInCell="1" hidden="0" allowOverlap="1" wp14:anchorId="258040F2" wp14:editId="444849F9">
                      <wp:simplePos x="0" y="0"/>
                      <wp:positionH relativeFrom="page">
                        <wp:posOffset>-9524</wp:posOffset>
                      </wp:positionH>
                      <wp:positionV relativeFrom="page">
                        <wp:posOffset>978408</wp:posOffset>
                      </wp:positionV>
                      <wp:extent cx="7791450" cy="10220771"/>
                      <wp:effectExtent l="0" t="0" r="0" b="0"/>
                      <wp:wrapNone/>
                      <wp:docPr id="7" name="Rectangle 7"/>
                      <wp:cNvGraphicFramePr/>
                      <a:graphic xmlns:a="http://schemas.openxmlformats.org/drawingml/2006/main">
                        <a:graphicData uri="http://schemas.microsoft.com/office/word/2010/wordprocessingShape">
                          <wps:wsp>
                            <wps:cNvSpPr/>
                            <wps:spPr>
                              <a:xfrm>
                                <a:off x="1708525" y="817675"/>
                                <a:ext cx="5879700" cy="7712400"/>
                              </a:xfrm>
                              <a:prstGeom prst="rect">
                                <a:avLst/>
                              </a:prstGeom>
                              <a:solidFill>
                                <a:srgbClr val="FEF2FF"/>
                              </a:solidFill>
                              <a:ln>
                                <a:noFill/>
                              </a:ln>
                            </wps:spPr>
                            <wps:txbx>
                              <w:txbxContent>
                                <w:p w14:paraId="4580CD2D" w14:textId="206FE323" w:rsidR="00A876B0" w:rsidRPr="002606DD" w:rsidRDefault="00A876B0">
                                  <w:pPr>
                                    <w:spacing w:before="0" w:after="0" w:line="240" w:lineRule="auto"/>
                                    <w:textDirection w:val="btLr"/>
                                    <w:rPr>
                                      <w:rFonts w:asciiTheme="minorHAnsi" w:hAnsiTheme="minorHAnsi"/>
                                      <w:lang w:val="en-US"/>
                                    </w:rPr>
                                  </w:pPr>
                                </w:p>
                              </w:txbxContent>
                            </wps:txbx>
                            <wps:bodyPr spcFirstLastPara="1" wrap="square" lIns="91425" tIns="91425" rIns="91425" bIns="91425" anchor="ctr" anchorCtr="0">
                              <a:noAutofit/>
                            </wps:bodyPr>
                          </wps:wsp>
                        </a:graphicData>
                      </a:graphic>
                    </wp:anchor>
                  </w:drawing>
                </mc:Choice>
                <mc:Fallback>
                  <w:pict>
                    <v:rect w14:anchorId="258040F2" id="Rectangle 7" o:spid="_x0000_s1026" style="position:absolute;margin-left:-.75pt;margin-top:77.05pt;width:613.5pt;height:804.8pt;z-index:-251656192;visibility:visible;mso-wrap-style:square;mso-wrap-distance-left:9pt;mso-wrap-distance-top:9pt;mso-wrap-distance-right:9pt;mso-wrap-distance-bottom:9pt;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" fillcolor="#fef2ff" stroked="f">
                      <v:textbox inset="2.53958mm,2.53958mm,2.53958mm,2.53958mm">
                        <w:txbxContent>
                          <w:p w14:paraId="4580CD2D" w14:textId="206FE323" w:rsidR="00A876B0" w:rsidRPr="002606DD" w:rsidRDefault="00A876B0">
                            <w:pPr>
                              <w:spacing w:before="0" w:after="0" w:line="240" w:lineRule="auto"/>
                              <w:textDirection w:val="btLr"/>
                              <w:rPr>
                                <w:rFonts w:asciiTheme="minorHAnsi" w:hAnsiTheme="minorHAnsi"/>
                                <w:lang w:val="en-US"/>
                              </w:rPr>
                            </w:pPr>
                          </w:p>
                        </w:txbxContent>
                      </v:textbox>
                      <w10:wrap anchorx="page" anchory="page"/>
                    </v:rect>
                  </w:pict>
                </mc:Fallback>
              </mc:AlternateContent>
            </w:r>
            <w:bookmarkStart w:id="15" w:name="_s3y76dm97byg" w:colFirst="0" w:colLast="0"/>
            <w:bookmarkEnd w:id="15"/>
            <w:r w:rsidR="002606DD">
              <w:rPr>
                <w:color w:val="46034D"/>
              </w:rPr>
              <w:t>P</w:t>
            </w:r>
            <w:r>
              <w:rPr>
                <w:color w:val="46034D"/>
              </w:rPr>
              <w:t>roduct</w:t>
            </w:r>
            <w:r w:rsidR="00877270">
              <w:rPr>
                <w:color w:val="46034D"/>
              </w:rPr>
              <w:t>s</w:t>
            </w:r>
            <w:r>
              <w:rPr>
                <w:color w:val="46034D"/>
              </w:rPr>
              <w:t xml:space="preserve"> </w:t>
            </w:r>
            <w:r w:rsidR="00877270">
              <w:rPr>
                <w:color w:val="46034D"/>
              </w:rPr>
              <w:t>and</w:t>
            </w:r>
            <w:r>
              <w:rPr>
                <w:color w:val="46034D"/>
              </w:rPr>
              <w:t xml:space="preserve"> services off</w:t>
            </w:r>
            <w:r w:rsidR="002606DD">
              <w:rPr>
                <w:color w:val="46034D"/>
              </w:rPr>
              <w:t>ered</w:t>
            </w:r>
          </w:p>
        </w:tc>
      </w:tr>
    </w:tbl>
    <w:p w14:paraId="4C2F07B8" w14:textId="72F98CA3" w:rsidR="00A876B0" w:rsidRDefault="00C076EF">
      <w:pPr>
        <w:rPr>
          <w:color w:val="000000"/>
        </w:rPr>
      </w:pPr>
      <w:r>
        <w:rPr>
          <w:color w:val="000000"/>
        </w:rPr>
        <w:t>ZENFINVEST</w:t>
      </w:r>
      <w:r w:rsidR="00877270">
        <w:rPr>
          <w:color w:val="000000"/>
        </w:rPr>
        <w:t>’s product line of investment software includes:</w:t>
      </w:r>
    </w:p>
    <w:p w14:paraId="4347EC5E" w14:textId="366B94AF" w:rsidR="00A876B0" w:rsidRDefault="00877270">
      <w:pPr>
        <w:numPr>
          <w:ilvl w:val="0"/>
          <w:numId w:val="35"/>
        </w:numPr>
      </w:pPr>
      <w:r>
        <w:rPr>
          <w:b/>
          <w:color w:val="46034D"/>
        </w:rPr>
        <w:t>A website that users can log in and set up the portfolio details:</w:t>
      </w:r>
      <w:r>
        <w:rPr>
          <w:color w:val="000000"/>
        </w:rPr>
        <w:t xml:space="preserve"> This enables capturing the customer’s details such as minimum and maximum parameters of the investment amount, their due date  and the anticipated amount to withdraw.</w:t>
      </w:r>
    </w:p>
    <w:p w14:paraId="3943B9C6" w14:textId="4BECC6B1" w:rsidR="00A876B0" w:rsidRDefault="00877270">
      <w:pPr>
        <w:numPr>
          <w:ilvl w:val="0"/>
          <w:numId w:val="35"/>
        </w:numPr>
      </w:pPr>
      <w:r>
        <w:rPr>
          <w:b/>
          <w:color w:val="46034D"/>
        </w:rPr>
        <w:t>A mobile app:</w:t>
      </w:r>
      <w:r>
        <w:rPr>
          <w:color w:val="000000"/>
        </w:rPr>
        <w:t xml:space="preserve"> Same as above with added notifications and alerts about the opportunities to </w:t>
      </w:r>
      <w:proofErr w:type="spellStart"/>
      <w:r>
        <w:rPr>
          <w:color w:val="000000"/>
        </w:rPr>
        <w:t>maximise</w:t>
      </w:r>
      <w:proofErr w:type="spellEnd"/>
      <w:r>
        <w:rPr>
          <w:color w:val="000000"/>
        </w:rPr>
        <w:t xml:space="preserve"> their returns.</w:t>
      </w:r>
      <w:r w:rsidR="002606DD">
        <w:rPr>
          <w:color w:val="000000"/>
        </w:rPr>
        <w:t xml:space="preserve"> i.e. reduced due dates or reduced investment amount.</w:t>
      </w:r>
    </w:p>
    <w:p w14:paraId="763AC2C8" w14:textId="06839E10" w:rsidR="00A876B0" w:rsidRDefault="00877270">
      <w:pPr>
        <w:numPr>
          <w:ilvl w:val="0"/>
          <w:numId w:val="35"/>
        </w:numPr>
      </w:pPr>
      <w:r>
        <w:rPr>
          <w:b/>
          <w:color w:val="46034D"/>
        </w:rPr>
        <w:t>Email and Text alerts:</w:t>
      </w:r>
      <w:r>
        <w:rPr>
          <w:color w:val="000000"/>
        </w:rPr>
        <w:t xml:space="preserve"> Opportunities to </w:t>
      </w:r>
      <w:proofErr w:type="spellStart"/>
      <w:r>
        <w:rPr>
          <w:color w:val="000000"/>
        </w:rPr>
        <w:t>maximise</w:t>
      </w:r>
      <w:proofErr w:type="spellEnd"/>
      <w:r>
        <w:rPr>
          <w:color w:val="000000"/>
        </w:rPr>
        <w:t xml:space="preserve"> the returns </w:t>
      </w:r>
    </w:p>
    <w:p w14:paraId="474F7B66" w14:textId="5611B6A5" w:rsidR="00A876B0" w:rsidRDefault="00877270">
      <w:pPr>
        <w:numPr>
          <w:ilvl w:val="0"/>
          <w:numId w:val="35"/>
        </w:numPr>
      </w:pPr>
      <w:proofErr w:type="spellStart"/>
      <w:r>
        <w:rPr>
          <w:b/>
          <w:color w:val="46034D"/>
        </w:rPr>
        <w:t>Centralised</w:t>
      </w:r>
      <w:proofErr w:type="spellEnd"/>
      <w:r>
        <w:rPr>
          <w:b/>
          <w:color w:val="46034D"/>
        </w:rPr>
        <w:t xml:space="preserve"> server that operates on both individual stocks and portfolio stock:</w:t>
      </w:r>
      <w:r>
        <w:rPr>
          <w:color w:val="000000"/>
        </w:rPr>
        <w:t xml:space="preserve"> These discover the best portfolios for individual circumstances.</w:t>
      </w:r>
    </w:p>
    <w:p w14:paraId="4F3DE4ED" w14:textId="0BFCA760" w:rsidR="00A876B0" w:rsidRPr="002606DD" w:rsidRDefault="00877270">
      <w:pPr>
        <w:numPr>
          <w:ilvl w:val="0"/>
          <w:numId w:val="35"/>
        </w:numPr>
      </w:pPr>
      <w:r>
        <w:rPr>
          <w:b/>
          <w:color w:val="46034D"/>
        </w:rPr>
        <w:t>Guaranteed progress monitoring chart that shows 0% discrepancy between anticipated and actual results:</w:t>
      </w:r>
      <w:r>
        <w:rPr>
          <w:color w:val="46034D"/>
        </w:rPr>
        <w:t xml:space="preserve"> </w:t>
      </w:r>
      <w:r>
        <w:rPr>
          <w:color w:val="000000"/>
        </w:rPr>
        <w:t xml:space="preserve">Provide </w:t>
      </w:r>
      <w:r w:rsidR="002606DD">
        <w:rPr>
          <w:color w:val="000000"/>
        </w:rPr>
        <w:t>reassurance</w:t>
      </w:r>
      <w:r>
        <w:rPr>
          <w:color w:val="000000"/>
        </w:rPr>
        <w:t xml:space="preserve"> th</w:t>
      </w:r>
      <w:r w:rsidR="002606DD">
        <w:rPr>
          <w:color w:val="000000"/>
        </w:rPr>
        <w:t>at the financial situation is stable and grows</w:t>
      </w:r>
    </w:p>
    <w:p w14:paraId="029D4E59" w14:textId="5D401B8C" w:rsidR="002606DD" w:rsidRDefault="002606DD">
      <w:pPr>
        <w:numPr>
          <w:ilvl w:val="0"/>
          <w:numId w:val="35"/>
        </w:numPr>
      </w:pPr>
      <w:r>
        <w:rPr>
          <w:b/>
          <w:color w:val="46034D"/>
        </w:rPr>
        <w:t>Exit market and save funds:</w:t>
      </w:r>
      <w:r>
        <w:t xml:space="preserve"> In an event of drastic change or fall in the markets, the predictive software short the stocks and retain the financial benefits so far.</w:t>
      </w:r>
    </w:p>
    <w:p w14:paraId="14842F04" w14:textId="094EA94B" w:rsidR="00A876B0" w:rsidRDefault="00000000">
      <w:pPr>
        <w:rPr>
          <w:color w:val="000000"/>
        </w:rPr>
      </w:pPr>
      <w:r>
        <w:rPr>
          <w:color w:val="000000"/>
        </w:rPr>
        <w:t xml:space="preserve">We keep our </w:t>
      </w:r>
      <w:r w:rsidR="002606DD">
        <w:rPr>
          <w:color w:val="000000"/>
        </w:rPr>
        <w:t>services</w:t>
      </w:r>
      <w:r>
        <w:rPr>
          <w:color w:val="000000"/>
        </w:rPr>
        <w:t xml:space="preserve"> competitively priced while paying everyone in our </w:t>
      </w:r>
      <w:r w:rsidR="002606DD">
        <w:rPr>
          <w:color w:val="000000"/>
        </w:rPr>
        <w:t>company</w:t>
      </w:r>
      <w:r>
        <w:rPr>
          <w:color w:val="000000"/>
        </w:rPr>
        <w:t xml:space="preserve"> a fair working wage. </w:t>
      </w:r>
    </w:p>
    <w:p w14:paraId="760C2CB8" w14:textId="77777777" w:rsidR="00C076EF" w:rsidRDefault="002606DD" w:rsidP="00C076EF">
      <w:pPr>
        <w:rPr>
          <w:color w:val="000000"/>
        </w:rPr>
      </w:pPr>
      <w:r>
        <w:rPr>
          <w:color w:val="000000"/>
        </w:rPr>
        <w:t xml:space="preserve">Our services cost less than conventional asset management due to the reduced costs of human employment such as manual buying and selling. </w:t>
      </w:r>
    </w:p>
    <w:p w14:paraId="0DF3B8A9" w14:textId="77777777" w:rsidR="0007032E" w:rsidRDefault="0007032E" w:rsidP="00C076EF">
      <w:pPr>
        <w:rPr>
          <w:b/>
          <w:color w:val="46034D"/>
        </w:rPr>
      </w:pPr>
    </w:p>
    <w:p w14:paraId="0B34D226" w14:textId="3DA2145B" w:rsidR="00C076EF" w:rsidRPr="0007032E" w:rsidRDefault="00C076EF" w:rsidP="00C076EF">
      <w:pPr>
        <w:rPr>
          <w:bCs/>
          <w:color w:val="46034D"/>
        </w:rPr>
      </w:pPr>
      <w:r w:rsidRPr="0007032E">
        <w:rPr>
          <w:bCs/>
          <w:color w:val="46034D"/>
        </w:rPr>
        <w:lastRenderedPageBreak/>
        <w:t>When considering the costs associated with FCA (Financial Conduct Authority) authorization for an investment portfolio management company in the UK, there are several components to keep in mind. These costs can be broadly categorized into initial application fees, ongoing regulatory fees, and additional costs related to compliance, staffing, and technology. Below is a detailed breakdown:</w:t>
      </w:r>
    </w:p>
    <w:p w14:paraId="046EB760" w14:textId="77777777" w:rsidR="00C076EF" w:rsidRPr="00C076EF" w:rsidRDefault="00C076EF" w:rsidP="00C076EF">
      <w:pPr>
        <w:rPr>
          <w:b/>
          <w:color w:val="46034D"/>
        </w:rPr>
      </w:pPr>
    </w:p>
    <w:p w14:paraId="267DA0DD" w14:textId="22F3F882" w:rsidR="00C076EF" w:rsidRPr="00C076EF" w:rsidRDefault="00C076EF" w:rsidP="00C076EF">
      <w:pPr>
        <w:rPr>
          <w:b/>
          <w:color w:val="46034D"/>
        </w:rPr>
      </w:pPr>
      <w:r w:rsidRPr="00C076EF">
        <w:rPr>
          <w:b/>
          <w:color w:val="46034D"/>
        </w:rPr>
        <w:t>1. Initial Application Fees</w:t>
      </w:r>
    </w:p>
    <w:p w14:paraId="3C910099" w14:textId="77777777" w:rsidR="00C076EF" w:rsidRPr="0007032E" w:rsidRDefault="00C076EF" w:rsidP="00C076EF">
      <w:pPr>
        <w:rPr>
          <w:bCs/>
          <w:color w:val="46034D"/>
        </w:rPr>
      </w:pPr>
      <w:r w:rsidRPr="0007032E">
        <w:rPr>
          <w:bCs/>
          <w:color w:val="46034D"/>
        </w:rPr>
        <w:t>The FCA charges application fees for firms seeking authorization. These fees vary based on the complexity of the application and the type of business. For an investment portfolio management company, you may fall into one of the higher fee categories.</w:t>
      </w:r>
    </w:p>
    <w:p w14:paraId="21D0BDE8" w14:textId="77777777" w:rsidR="00C076EF" w:rsidRPr="0007032E" w:rsidRDefault="00C076EF" w:rsidP="00C076EF">
      <w:pPr>
        <w:rPr>
          <w:bCs/>
          <w:color w:val="46034D"/>
        </w:rPr>
      </w:pPr>
    </w:p>
    <w:p w14:paraId="60123C54" w14:textId="3E43B294" w:rsidR="00C076EF" w:rsidRPr="00C076EF" w:rsidRDefault="00C076EF" w:rsidP="00C076EF">
      <w:pPr>
        <w:rPr>
          <w:b/>
          <w:color w:val="46034D"/>
        </w:rPr>
      </w:pPr>
      <w:r w:rsidRPr="00C076EF">
        <w:rPr>
          <w:b/>
          <w:color w:val="46034D"/>
        </w:rPr>
        <w:t>Application Fee: As of 2024, application fees for investment firms can range from £1,500 to over £25,000 depending on the complexity and scale of the operations.</w:t>
      </w:r>
    </w:p>
    <w:p w14:paraId="36A1548F" w14:textId="77777777" w:rsidR="00C076EF" w:rsidRPr="00C076EF" w:rsidRDefault="00C076EF" w:rsidP="00C076EF">
      <w:pPr>
        <w:rPr>
          <w:b/>
          <w:color w:val="46034D"/>
        </w:rPr>
      </w:pPr>
    </w:p>
    <w:p w14:paraId="6635B6F5" w14:textId="711D65F7" w:rsidR="00C076EF" w:rsidRPr="00C076EF" w:rsidRDefault="00C076EF" w:rsidP="00C076EF">
      <w:pPr>
        <w:rPr>
          <w:b/>
          <w:color w:val="46034D"/>
        </w:rPr>
      </w:pPr>
      <w:r w:rsidRPr="00C076EF">
        <w:rPr>
          <w:b/>
          <w:color w:val="46034D"/>
        </w:rPr>
        <w:t>2. Ongoing Regulatory Fees</w:t>
      </w:r>
    </w:p>
    <w:p w14:paraId="35B8BA02" w14:textId="77777777" w:rsidR="00C076EF" w:rsidRPr="0007032E" w:rsidRDefault="00C076EF" w:rsidP="00C076EF">
      <w:pPr>
        <w:rPr>
          <w:bCs/>
          <w:color w:val="46034D"/>
        </w:rPr>
      </w:pPr>
      <w:r w:rsidRPr="0007032E">
        <w:rPr>
          <w:bCs/>
          <w:color w:val="46034D"/>
        </w:rPr>
        <w:t>Once authorized, firms must pay annual fees to the FCA. These fees are based on the firm's income and the category of regulated activities they undertake.</w:t>
      </w:r>
    </w:p>
    <w:p w14:paraId="0AC4B2E0" w14:textId="77777777" w:rsidR="00C076EF" w:rsidRPr="00C076EF" w:rsidRDefault="00C076EF" w:rsidP="00C076EF">
      <w:pPr>
        <w:rPr>
          <w:b/>
          <w:color w:val="46034D"/>
        </w:rPr>
      </w:pPr>
    </w:p>
    <w:p w14:paraId="370EEE2D" w14:textId="51D3CEC8" w:rsidR="00C076EF" w:rsidRPr="00C076EF" w:rsidRDefault="00C076EF" w:rsidP="00C076EF">
      <w:pPr>
        <w:rPr>
          <w:b/>
          <w:color w:val="46034D"/>
        </w:rPr>
      </w:pPr>
      <w:r w:rsidRPr="00C076EF">
        <w:rPr>
          <w:b/>
          <w:color w:val="46034D"/>
        </w:rPr>
        <w:t>Annual Fees:</w:t>
      </w:r>
      <w:r w:rsidR="0007032E">
        <w:rPr>
          <w:b/>
          <w:color w:val="46034D"/>
        </w:rPr>
        <w:t xml:space="preserve"> </w:t>
      </w:r>
      <w:r w:rsidRPr="00C076EF">
        <w:rPr>
          <w:b/>
          <w:color w:val="46034D"/>
        </w:rPr>
        <w:t>These can range from a few thousand pounds to tens of thousands, depending on the firm's revenue and specific FCA fee blocks applicable to the business.</w:t>
      </w:r>
    </w:p>
    <w:p w14:paraId="52D41408" w14:textId="77777777" w:rsidR="00C076EF" w:rsidRPr="00C076EF" w:rsidRDefault="00C076EF" w:rsidP="00C076EF">
      <w:pPr>
        <w:rPr>
          <w:b/>
          <w:color w:val="46034D"/>
        </w:rPr>
      </w:pPr>
    </w:p>
    <w:p w14:paraId="2D114F06" w14:textId="3157F038" w:rsidR="00C076EF" w:rsidRPr="00C076EF" w:rsidRDefault="00C076EF" w:rsidP="00C076EF">
      <w:pPr>
        <w:rPr>
          <w:b/>
          <w:color w:val="46034D"/>
        </w:rPr>
      </w:pPr>
      <w:r w:rsidRPr="00C076EF">
        <w:rPr>
          <w:b/>
          <w:color w:val="46034D"/>
        </w:rPr>
        <w:t>3. Compliance Costs</w:t>
      </w:r>
    </w:p>
    <w:p w14:paraId="0C116409" w14:textId="77777777" w:rsidR="00C076EF" w:rsidRPr="0007032E" w:rsidRDefault="00C076EF" w:rsidP="00C076EF">
      <w:pPr>
        <w:rPr>
          <w:bCs/>
          <w:color w:val="46034D"/>
        </w:rPr>
      </w:pPr>
      <w:r w:rsidRPr="0007032E">
        <w:rPr>
          <w:bCs/>
          <w:color w:val="46034D"/>
        </w:rPr>
        <w:lastRenderedPageBreak/>
        <w:t>Compliance costs include both initial setup and ongoing expenses required to ensure the firm adheres to FCA regulations.</w:t>
      </w:r>
    </w:p>
    <w:p w14:paraId="1237725B" w14:textId="77777777" w:rsidR="00C076EF" w:rsidRPr="00C076EF" w:rsidRDefault="00C076EF" w:rsidP="00C076EF">
      <w:pPr>
        <w:rPr>
          <w:b/>
          <w:color w:val="46034D"/>
        </w:rPr>
      </w:pPr>
    </w:p>
    <w:p w14:paraId="742AD2AA" w14:textId="2AFD9856" w:rsidR="00C076EF" w:rsidRPr="00C076EF" w:rsidRDefault="00C076EF" w:rsidP="00C076EF">
      <w:pPr>
        <w:rPr>
          <w:b/>
          <w:color w:val="46034D"/>
        </w:rPr>
      </w:pPr>
      <w:r w:rsidRPr="00C076EF">
        <w:rPr>
          <w:b/>
          <w:color w:val="46034D"/>
        </w:rPr>
        <w:t>Compliance Officer:</w:t>
      </w:r>
      <w:r w:rsidR="0007032E">
        <w:rPr>
          <w:b/>
          <w:color w:val="46034D"/>
        </w:rPr>
        <w:t xml:space="preserve"> </w:t>
      </w:r>
      <w:r w:rsidRPr="00C076EF">
        <w:rPr>
          <w:b/>
          <w:color w:val="46034D"/>
        </w:rPr>
        <w:t>Hiring a compliance officer or an external compliance consultant can cost anywhere from £50,000 to £100,000 annually.</w:t>
      </w:r>
    </w:p>
    <w:p w14:paraId="29E0BA25" w14:textId="57E12B46" w:rsidR="00C076EF" w:rsidRPr="00C076EF" w:rsidRDefault="00C076EF" w:rsidP="00C076EF">
      <w:pPr>
        <w:rPr>
          <w:b/>
          <w:color w:val="46034D"/>
        </w:rPr>
      </w:pPr>
      <w:r w:rsidRPr="00C076EF">
        <w:rPr>
          <w:b/>
          <w:color w:val="46034D"/>
        </w:rPr>
        <w:t>Compliance Systems:</w:t>
      </w:r>
      <w:r w:rsidR="0007032E">
        <w:rPr>
          <w:b/>
          <w:color w:val="46034D"/>
        </w:rPr>
        <w:t xml:space="preserve"> </w:t>
      </w:r>
      <w:r w:rsidRPr="00C076EF">
        <w:rPr>
          <w:b/>
          <w:color w:val="46034D"/>
        </w:rPr>
        <w:t>Implementing compliance monitoring systems and software might cost between £10,000 and £50,000 initially, with ongoing maintenance costs.</w:t>
      </w:r>
    </w:p>
    <w:p w14:paraId="2D51F6FB" w14:textId="77777777" w:rsidR="00C076EF" w:rsidRPr="00C076EF" w:rsidRDefault="00C076EF" w:rsidP="00C076EF">
      <w:pPr>
        <w:rPr>
          <w:b/>
          <w:color w:val="46034D"/>
        </w:rPr>
      </w:pPr>
    </w:p>
    <w:p w14:paraId="3C7CD759" w14:textId="0C933AAC" w:rsidR="00C076EF" w:rsidRPr="00C076EF" w:rsidRDefault="00C076EF" w:rsidP="00C076EF">
      <w:pPr>
        <w:rPr>
          <w:b/>
          <w:color w:val="46034D"/>
        </w:rPr>
      </w:pPr>
      <w:r w:rsidRPr="00C076EF">
        <w:rPr>
          <w:b/>
          <w:color w:val="46034D"/>
        </w:rPr>
        <w:t>4. Capital Requirements</w:t>
      </w:r>
    </w:p>
    <w:p w14:paraId="1C5E34D8" w14:textId="77777777" w:rsidR="00C076EF" w:rsidRPr="0007032E" w:rsidRDefault="00C076EF" w:rsidP="00C076EF">
      <w:pPr>
        <w:rPr>
          <w:bCs/>
          <w:color w:val="46034D"/>
        </w:rPr>
      </w:pPr>
      <w:r w:rsidRPr="0007032E">
        <w:rPr>
          <w:bCs/>
          <w:color w:val="46034D"/>
        </w:rPr>
        <w:t>The FCA mandates minimum capital requirements for investment firms to ensure they have sufficient financial resources. The exact amount depends on the type and scale of business.</w:t>
      </w:r>
    </w:p>
    <w:p w14:paraId="651E0F32" w14:textId="77777777" w:rsidR="00C076EF" w:rsidRPr="00C076EF" w:rsidRDefault="00C076EF" w:rsidP="00C076EF">
      <w:pPr>
        <w:rPr>
          <w:b/>
          <w:color w:val="46034D"/>
        </w:rPr>
      </w:pPr>
    </w:p>
    <w:p w14:paraId="4D39CB01" w14:textId="3767FEA0" w:rsidR="00C076EF" w:rsidRPr="00C076EF" w:rsidRDefault="00C076EF" w:rsidP="00C076EF">
      <w:pPr>
        <w:rPr>
          <w:b/>
          <w:color w:val="46034D"/>
        </w:rPr>
      </w:pPr>
      <w:r w:rsidRPr="00C076EF">
        <w:rPr>
          <w:b/>
          <w:color w:val="46034D"/>
        </w:rPr>
        <w:t>Minimum Capital:</w:t>
      </w:r>
      <w:r w:rsidR="0007032E">
        <w:rPr>
          <w:b/>
          <w:color w:val="46034D"/>
        </w:rPr>
        <w:t xml:space="preserve"> </w:t>
      </w:r>
      <w:r w:rsidRPr="00C076EF">
        <w:rPr>
          <w:b/>
          <w:color w:val="46034D"/>
        </w:rPr>
        <w:t>This can range from €50,000 to €730,000 (around £43,000 to £630,000) depending on the firm’s activities and classification (as per IFPR – Investment Firms Prudential Regime).</w:t>
      </w:r>
    </w:p>
    <w:p w14:paraId="3D2DB709" w14:textId="77777777" w:rsidR="00C076EF" w:rsidRPr="00C076EF" w:rsidRDefault="00C076EF" w:rsidP="00C076EF">
      <w:pPr>
        <w:rPr>
          <w:b/>
          <w:color w:val="46034D"/>
        </w:rPr>
      </w:pPr>
    </w:p>
    <w:p w14:paraId="1DD3ADA9" w14:textId="6170B0E5" w:rsidR="00C076EF" w:rsidRPr="00C076EF" w:rsidRDefault="00C076EF" w:rsidP="00C076EF">
      <w:pPr>
        <w:rPr>
          <w:b/>
          <w:color w:val="46034D"/>
        </w:rPr>
      </w:pPr>
      <w:r w:rsidRPr="00C076EF">
        <w:rPr>
          <w:b/>
          <w:color w:val="46034D"/>
        </w:rPr>
        <w:t>5. Professional Indemnity Insurance (PII)</w:t>
      </w:r>
    </w:p>
    <w:p w14:paraId="5CB9FA9E" w14:textId="77777777" w:rsidR="00C076EF" w:rsidRPr="0007032E" w:rsidRDefault="00C076EF" w:rsidP="00C076EF">
      <w:pPr>
        <w:rPr>
          <w:bCs/>
          <w:color w:val="46034D"/>
        </w:rPr>
      </w:pPr>
      <w:r w:rsidRPr="0007032E">
        <w:rPr>
          <w:bCs/>
          <w:color w:val="46034D"/>
        </w:rPr>
        <w:t>PII is a requirement for FCA-authorized firms to protect against claims of professional negligence.</w:t>
      </w:r>
    </w:p>
    <w:p w14:paraId="65D07183" w14:textId="77777777" w:rsidR="00C076EF" w:rsidRPr="00C076EF" w:rsidRDefault="00C076EF" w:rsidP="00C076EF">
      <w:pPr>
        <w:rPr>
          <w:b/>
          <w:color w:val="46034D"/>
        </w:rPr>
      </w:pPr>
    </w:p>
    <w:p w14:paraId="089FA0EF" w14:textId="5C0D0123" w:rsidR="00C076EF" w:rsidRPr="00C076EF" w:rsidRDefault="00C076EF" w:rsidP="00C076EF">
      <w:pPr>
        <w:rPr>
          <w:b/>
          <w:color w:val="46034D"/>
        </w:rPr>
      </w:pPr>
      <w:r w:rsidRPr="00C076EF">
        <w:rPr>
          <w:b/>
          <w:color w:val="46034D"/>
        </w:rPr>
        <w:t>Insurance Premiums: Costs vary based on the firm's size and risk profile but typically range from £5,000 to £20,000 annually.</w:t>
      </w:r>
    </w:p>
    <w:p w14:paraId="6EEDAB57" w14:textId="77777777" w:rsidR="00C076EF" w:rsidRPr="00C076EF" w:rsidRDefault="00C076EF" w:rsidP="00C076EF">
      <w:pPr>
        <w:rPr>
          <w:b/>
          <w:color w:val="46034D"/>
        </w:rPr>
      </w:pPr>
    </w:p>
    <w:p w14:paraId="2ED3237D" w14:textId="0DB72A36" w:rsidR="00C076EF" w:rsidRPr="00C076EF" w:rsidRDefault="00C076EF" w:rsidP="00C076EF">
      <w:pPr>
        <w:rPr>
          <w:b/>
          <w:color w:val="46034D"/>
        </w:rPr>
      </w:pPr>
      <w:r w:rsidRPr="00C076EF">
        <w:rPr>
          <w:b/>
          <w:color w:val="46034D"/>
        </w:rPr>
        <w:t>6. Technology and Infrastructure</w:t>
      </w:r>
    </w:p>
    <w:p w14:paraId="7505480D" w14:textId="77777777" w:rsidR="00C076EF" w:rsidRPr="00C076EF" w:rsidRDefault="00C076EF" w:rsidP="00C076EF">
      <w:pPr>
        <w:rPr>
          <w:b/>
          <w:color w:val="46034D"/>
        </w:rPr>
      </w:pPr>
      <w:r w:rsidRPr="00C076EF">
        <w:rPr>
          <w:b/>
          <w:color w:val="46034D"/>
        </w:rPr>
        <w:t>Investment in technology to support portfolio management, trading, and compliance is crucial.</w:t>
      </w:r>
    </w:p>
    <w:p w14:paraId="66AA0C29" w14:textId="77777777" w:rsidR="00C076EF" w:rsidRPr="00C076EF" w:rsidRDefault="00C076EF" w:rsidP="00C076EF">
      <w:pPr>
        <w:rPr>
          <w:b/>
          <w:color w:val="46034D"/>
        </w:rPr>
      </w:pPr>
    </w:p>
    <w:p w14:paraId="24A18166" w14:textId="4FB4AE87" w:rsidR="00C076EF" w:rsidRPr="00C076EF" w:rsidRDefault="00C076EF" w:rsidP="00C076EF">
      <w:pPr>
        <w:rPr>
          <w:b/>
          <w:color w:val="46034D"/>
        </w:rPr>
      </w:pPr>
      <w:r w:rsidRPr="00C076EF">
        <w:rPr>
          <w:b/>
          <w:color w:val="46034D"/>
        </w:rPr>
        <w:t>- Software Licenses:</w:t>
      </w:r>
      <w:r w:rsidR="0007032E">
        <w:rPr>
          <w:b/>
          <w:color w:val="46034D"/>
        </w:rPr>
        <w:t xml:space="preserve"> </w:t>
      </w:r>
      <w:r w:rsidRPr="00C076EF">
        <w:rPr>
          <w:b/>
          <w:color w:val="46034D"/>
        </w:rPr>
        <w:t>Portfolio management systems, trading platforms, and risk management tools can cost between £20,000 to £100,000 annually.</w:t>
      </w:r>
    </w:p>
    <w:p w14:paraId="62EDED3C" w14:textId="492AE33A" w:rsidR="00C076EF" w:rsidRPr="00C076EF" w:rsidRDefault="00C076EF" w:rsidP="00C076EF">
      <w:pPr>
        <w:rPr>
          <w:b/>
          <w:color w:val="46034D"/>
        </w:rPr>
      </w:pPr>
      <w:r w:rsidRPr="00C076EF">
        <w:rPr>
          <w:b/>
          <w:color w:val="46034D"/>
        </w:rPr>
        <w:t>- IT Infrastructure:</w:t>
      </w:r>
      <w:r w:rsidR="0007032E">
        <w:rPr>
          <w:b/>
          <w:color w:val="46034D"/>
        </w:rPr>
        <w:t xml:space="preserve"> </w:t>
      </w:r>
      <w:r w:rsidRPr="00C076EF">
        <w:rPr>
          <w:b/>
          <w:color w:val="46034D"/>
        </w:rPr>
        <w:t>Initial setup for secure and compliant IT infrastructure may range from £10,000 to £50,000, with ongoing maintenance costs.</w:t>
      </w:r>
    </w:p>
    <w:p w14:paraId="5CB30610" w14:textId="77777777" w:rsidR="00C076EF" w:rsidRPr="00C076EF" w:rsidRDefault="00C076EF" w:rsidP="00C076EF">
      <w:pPr>
        <w:rPr>
          <w:b/>
          <w:color w:val="46034D"/>
        </w:rPr>
      </w:pPr>
    </w:p>
    <w:p w14:paraId="5AFC89E6" w14:textId="28F89B54" w:rsidR="00C076EF" w:rsidRPr="00C076EF" w:rsidRDefault="00C076EF" w:rsidP="00C076EF">
      <w:pPr>
        <w:rPr>
          <w:b/>
          <w:color w:val="46034D"/>
        </w:rPr>
      </w:pPr>
      <w:r w:rsidRPr="00C076EF">
        <w:rPr>
          <w:b/>
          <w:color w:val="46034D"/>
        </w:rPr>
        <w:t>7. Staffing Costs</w:t>
      </w:r>
    </w:p>
    <w:p w14:paraId="25432096" w14:textId="77777777" w:rsidR="00C076EF" w:rsidRPr="00C076EF" w:rsidRDefault="00C076EF" w:rsidP="00C076EF">
      <w:pPr>
        <w:rPr>
          <w:b/>
          <w:color w:val="46034D"/>
        </w:rPr>
      </w:pPr>
      <w:r w:rsidRPr="00C076EF">
        <w:rPr>
          <w:b/>
          <w:color w:val="46034D"/>
        </w:rPr>
        <w:t>Hiring skilled personnel is essential for operations, compliance, and client management.</w:t>
      </w:r>
    </w:p>
    <w:p w14:paraId="1B45E0C7" w14:textId="77777777" w:rsidR="00C076EF" w:rsidRPr="00C076EF" w:rsidRDefault="00C076EF" w:rsidP="00C076EF">
      <w:pPr>
        <w:rPr>
          <w:b/>
          <w:color w:val="46034D"/>
        </w:rPr>
      </w:pPr>
    </w:p>
    <w:p w14:paraId="62CCF44E" w14:textId="10617827" w:rsidR="00C076EF" w:rsidRPr="00C076EF" w:rsidRDefault="00C076EF" w:rsidP="00C076EF">
      <w:pPr>
        <w:rPr>
          <w:b/>
          <w:color w:val="46034D"/>
        </w:rPr>
      </w:pPr>
      <w:r w:rsidRPr="00C076EF">
        <w:rPr>
          <w:b/>
          <w:color w:val="46034D"/>
        </w:rPr>
        <w:t>Key Personnel:</w:t>
      </w:r>
      <w:r w:rsidR="0007032E">
        <w:rPr>
          <w:b/>
          <w:color w:val="46034D"/>
        </w:rPr>
        <w:t xml:space="preserve"> </w:t>
      </w:r>
      <w:r w:rsidRPr="00C076EF">
        <w:rPr>
          <w:b/>
          <w:color w:val="46034D"/>
        </w:rPr>
        <w:t>Salaries for portfolio managers, analysts, IT staff, and support staff vary widely but can be substantial. For example, a portfolio manager might command a salary between £60,000 and £150,000 annually.</w:t>
      </w:r>
    </w:p>
    <w:p w14:paraId="6BC52F26" w14:textId="77777777" w:rsidR="00C076EF" w:rsidRPr="00C076EF" w:rsidRDefault="00C076EF" w:rsidP="00C076EF">
      <w:pPr>
        <w:rPr>
          <w:b/>
          <w:color w:val="46034D"/>
        </w:rPr>
      </w:pPr>
    </w:p>
    <w:p w14:paraId="06AEA458" w14:textId="3DC3FF2D" w:rsidR="00C076EF" w:rsidRPr="00C076EF" w:rsidRDefault="00C076EF" w:rsidP="00C076EF">
      <w:pPr>
        <w:rPr>
          <w:b/>
          <w:color w:val="46034D"/>
        </w:rPr>
      </w:pPr>
      <w:r w:rsidRPr="00C076EF">
        <w:rPr>
          <w:b/>
          <w:color w:val="46034D"/>
        </w:rPr>
        <w:t>8. Other Miscellaneous Costs</w:t>
      </w:r>
    </w:p>
    <w:p w14:paraId="74E367DB" w14:textId="4EE4F6BF" w:rsidR="00C076EF" w:rsidRPr="00C076EF" w:rsidRDefault="00C076EF" w:rsidP="00C076EF">
      <w:pPr>
        <w:rPr>
          <w:b/>
          <w:color w:val="46034D"/>
        </w:rPr>
      </w:pPr>
      <w:r w:rsidRPr="00C076EF">
        <w:rPr>
          <w:b/>
          <w:color w:val="46034D"/>
        </w:rPr>
        <w:t>Legal Fees: Initial and ongoing legal advice can add up, with initial setup legal costs ranging from £10,000 to £50,000.</w:t>
      </w:r>
    </w:p>
    <w:p w14:paraId="53143CFC" w14:textId="772A339F" w:rsidR="00C076EF" w:rsidRPr="00C076EF" w:rsidRDefault="00C076EF" w:rsidP="00C076EF">
      <w:pPr>
        <w:rPr>
          <w:b/>
          <w:color w:val="46034D"/>
        </w:rPr>
      </w:pPr>
      <w:r w:rsidRPr="00C076EF">
        <w:rPr>
          <w:b/>
          <w:color w:val="46034D"/>
        </w:rPr>
        <w:t>Training:</w:t>
      </w:r>
      <w:r w:rsidR="0007032E">
        <w:rPr>
          <w:b/>
          <w:color w:val="46034D"/>
        </w:rPr>
        <w:t xml:space="preserve"> </w:t>
      </w:r>
      <w:r w:rsidRPr="00C076EF">
        <w:rPr>
          <w:b/>
          <w:color w:val="46034D"/>
        </w:rPr>
        <w:t>Ongoing training for staff to stay compliant with regulations might cost around £5,000 annually.</w:t>
      </w:r>
    </w:p>
    <w:p w14:paraId="4A747646" w14:textId="28BD1C04" w:rsidR="00C076EF" w:rsidRPr="00C076EF" w:rsidRDefault="00C076EF" w:rsidP="00C076EF">
      <w:pPr>
        <w:rPr>
          <w:b/>
          <w:color w:val="46034D"/>
        </w:rPr>
      </w:pPr>
      <w:r w:rsidRPr="00C076EF">
        <w:rPr>
          <w:b/>
          <w:color w:val="46034D"/>
        </w:rPr>
        <w:lastRenderedPageBreak/>
        <w:t>Office Space: Depending on location, office rent and utilities can range significantly.</w:t>
      </w:r>
    </w:p>
    <w:p w14:paraId="70EA3664" w14:textId="77777777" w:rsidR="00C076EF" w:rsidRPr="00C076EF" w:rsidRDefault="00C076EF" w:rsidP="00C076EF">
      <w:pPr>
        <w:rPr>
          <w:b/>
          <w:color w:val="46034D"/>
        </w:rPr>
      </w:pPr>
    </w:p>
    <w:p w14:paraId="643587CC" w14:textId="0758F513" w:rsidR="00C076EF" w:rsidRPr="00C076EF" w:rsidRDefault="00C076EF" w:rsidP="00C076EF">
      <w:pPr>
        <w:rPr>
          <w:b/>
          <w:color w:val="46034D"/>
        </w:rPr>
      </w:pPr>
      <w:r w:rsidRPr="00C076EF">
        <w:rPr>
          <w:b/>
          <w:color w:val="46034D"/>
        </w:rPr>
        <w:t xml:space="preserve"> Summary of Estimated Costs</w:t>
      </w:r>
    </w:p>
    <w:p w14:paraId="74A7857B" w14:textId="77777777" w:rsidR="00C076EF" w:rsidRPr="00C076EF" w:rsidRDefault="00C076EF" w:rsidP="00C076EF">
      <w:pPr>
        <w:rPr>
          <w:b/>
          <w:color w:val="46034D"/>
        </w:rPr>
      </w:pPr>
    </w:p>
    <w:p w14:paraId="59B8C0DC" w14:textId="13B8A988" w:rsidR="00C076EF" w:rsidRPr="00C076EF" w:rsidRDefault="00C076EF" w:rsidP="00C076EF">
      <w:pPr>
        <w:rPr>
          <w:b/>
          <w:color w:val="46034D"/>
        </w:rPr>
      </w:pPr>
      <w:r w:rsidRPr="00C076EF">
        <w:rPr>
          <w:b/>
          <w:color w:val="46034D"/>
        </w:rPr>
        <w:t>Initial Costs:</w:t>
      </w:r>
    </w:p>
    <w:p w14:paraId="1FCB9775" w14:textId="77777777" w:rsidR="00C076EF" w:rsidRPr="0007032E" w:rsidRDefault="00C076EF" w:rsidP="00C076EF">
      <w:pPr>
        <w:rPr>
          <w:bCs/>
          <w:color w:val="46034D"/>
        </w:rPr>
      </w:pPr>
      <w:r w:rsidRPr="00C076EF">
        <w:rPr>
          <w:b/>
          <w:color w:val="46034D"/>
        </w:rPr>
        <w:t xml:space="preserve">  </w:t>
      </w:r>
      <w:r w:rsidRPr="0007032E">
        <w:rPr>
          <w:bCs/>
          <w:color w:val="46034D"/>
        </w:rPr>
        <w:t>- Application Fee: £1,500 - £25,000</w:t>
      </w:r>
    </w:p>
    <w:p w14:paraId="607E2DAE" w14:textId="77777777" w:rsidR="00C076EF" w:rsidRPr="0007032E" w:rsidRDefault="00C076EF" w:rsidP="00C076EF">
      <w:pPr>
        <w:rPr>
          <w:bCs/>
          <w:color w:val="46034D"/>
        </w:rPr>
      </w:pPr>
      <w:r w:rsidRPr="0007032E">
        <w:rPr>
          <w:bCs/>
          <w:color w:val="46034D"/>
        </w:rPr>
        <w:t xml:space="preserve">  - Compliance Setup: £10,000 - £50,000</w:t>
      </w:r>
    </w:p>
    <w:p w14:paraId="63AB65AB" w14:textId="77777777" w:rsidR="00C076EF" w:rsidRPr="0007032E" w:rsidRDefault="00C076EF" w:rsidP="00C076EF">
      <w:pPr>
        <w:rPr>
          <w:bCs/>
          <w:color w:val="46034D"/>
        </w:rPr>
      </w:pPr>
      <w:r w:rsidRPr="0007032E">
        <w:rPr>
          <w:bCs/>
          <w:color w:val="46034D"/>
        </w:rPr>
        <w:t xml:space="preserve">  - IT Infrastructure: £10,000 - £50,000</w:t>
      </w:r>
    </w:p>
    <w:p w14:paraId="41683BD2" w14:textId="2E4C7A68" w:rsidR="00C076EF" w:rsidRPr="0007032E" w:rsidRDefault="00C076EF" w:rsidP="00C076EF">
      <w:pPr>
        <w:rPr>
          <w:bCs/>
          <w:color w:val="46034D"/>
        </w:rPr>
      </w:pPr>
      <w:r w:rsidRPr="0007032E">
        <w:rPr>
          <w:bCs/>
          <w:color w:val="46034D"/>
        </w:rPr>
        <w:t xml:space="preserve">  -Legal Fees: £10,000 - £50,000</w:t>
      </w:r>
    </w:p>
    <w:p w14:paraId="56CBB3F1" w14:textId="77777777" w:rsidR="00C076EF" w:rsidRPr="00C076EF" w:rsidRDefault="00C076EF" w:rsidP="00C076EF">
      <w:pPr>
        <w:rPr>
          <w:b/>
          <w:color w:val="46034D"/>
        </w:rPr>
      </w:pPr>
    </w:p>
    <w:p w14:paraId="5FC2F76B" w14:textId="704FFD63" w:rsidR="00C076EF" w:rsidRPr="0007032E" w:rsidRDefault="00C076EF" w:rsidP="00C076EF">
      <w:pPr>
        <w:rPr>
          <w:b/>
          <w:color w:val="46034D"/>
        </w:rPr>
      </w:pPr>
      <w:r w:rsidRPr="0007032E">
        <w:rPr>
          <w:b/>
          <w:color w:val="46034D"/>
        </w:rPr>
        <w:t>Ongoing Annual Costs:</w:t>
      </w:r>
    </w:p>
    <w:p w14:paraId="559AC007" w14:textId="77777777" w:rsidR="00C076EF" w:rsidRPr="0007032E" w:rsidRDefault="00C076EF" w:rsidP="00C076EF">
      <w:pPr>
        <w:rPr>
          <w:bCs/>
          <w:color w:val="46034D"/>
        </w:rPr>
      </w:pPr>
      <w:r w:rsidRPr="0007032E">
        <w:rPr>
          <w:bCs/>
          <w:color w:val="46034D"/>
        </w:rPr>
        <w:t xml:space="preserve">  - FCA Annual Fee: £5,000 - £50,000</w:t>
      </w:r>
    </w:p>
    <w:p w14:paraId="2CC5A58F" w14:textId="77777777" w:rsidR="00C076EF" w:rsidRPr="0007032E" w:rsidRDefault="00C076EF" w:rsidP="00C076EF">
      <w:pPr>
        <w:rPr>
          <w:bCs/>
          <w:color w:val="46034D"/>
        </w:rPr>
      </w:pPr>
      <w:r w:rsidRPr="0007032E">
        <w:rPr>
          <w:bCs/>
          <w:color w:val="46034D"/>
        </w:rPr>
        <w:t xml:space="preserve">  - Compliance Officer: £50,000 - £100,000</w:t>
      </w:r>
    </w:p>
    <w:p w14:paraId="356D30B2" w14:textId="77777777" w:rsidR="00C076EF" w:rsidRPr="0007032E" w:rsidRDefault="00C076EF" w:rsidP="00C076EF">
      <w:pPr>
        <w:rPr>
          <w:bCs/>
          <w:color w:val="46034D"/>
        </w:rPr>
      </w:pPr>
      <w:r w:rsidRPr="0007032E">
        <w:rPr>
          <w:bCs/>
          <w:color w:val="46034D"/>
        </w:rPr>
        <w:t xml:space="preserve">  - Compliance Systems: £10,000 - £50,000</w:t>
      </w:r>
    </w:p>
    <w:p w14:paraId="38F1FD06" w14:textId="77777777" w:rsidR="00C076EF" w:rsidRPr="0007032E" w:rsidRDefault="00C076EF" w:rsidP="00C076EF">
      <w:pPr>
        <w:rPr>
          <w:bCs/>
          <w:color w:val="46034D"/>
        </w:rPr>
      </w:pPr>
      <w:r w:rsidRPr="0007032E">
        <w:rPr>
          <w:bCs/>
          <w:color w:val="46034D"/>
        </w:rPr>
        <w:t xml:space="preserve">  - PII Premiums: £5,000 - £20,000</w:t>
      </w:r>
    </w:p>
    <w:p w14:paraId="36849949" w14:textId="77777777" w:rsidR="00C076EF" w:rsidRPr="0007032E" w:rsidRDefault="00C076EF" w:rsidP="00C076EF">
      <w:pPr>
        <w:rPr>
          <w:bCs/>
          <w:color w:val="46034D"/>
        </w:rPr>
      </w:pPr>
      <w:r w:rsidRPr="0007032E">
        <w:rPr>
          <w:bCs/>
          <w:color w:val="46034D"/>
        </w:rPr>
        <w:t xml:space="preserve">  - Software Licenses: £20,000 - £100,000</w:t>
      </w:r>
    </w:p>
    <w:p w14:paraId="17F951A6" w14:textId="77777777" w:rsidR="00C076EF" w:rsidRPr="0007032E" w:rsidRDefault="00C076EF" w:rsidP="00C076EF">
      <w:pPr>
        <w:rPr>
          <w:bCs/>
          <w:color w:val="46034D"/>
        </w:rPr>
      </w:pPr>
      <w:r w:rsidRPr="0007032E">
        <w:rPr>
          <w:bCs/>
          <w:color w:val="46034D"/>
        </w:rPr>
        <w:t xml:space="preserve">  - Staffing: £200,000 - £500,000 (for a small to medium-sized firm)</w:t>
      </w:r>
    </w:p>
    <w:p w14:paraId="52BE15C2" w14:textId="77777777" w:rsidR="00C076EF" w:rsidRPr="0007032E" w:rsidRDefault="00C076EF" w:rsidP="00C076EF">
      <w:pPr>
        <w:rPr>
          <w:bCs/>
          <w:color w:val="46034D"/>
        </w:rPr>
      </w:pPr>
      <w:r w:rsidRPr="0007032E">
        <w:rPr>
          <w:bCs/>
          <w:color w:val="46034D"/>
        </w:rPr>
        <w:t xml:space="preserve">  - Office Space: Varies by location</w:t>
      </w:r>
    </w:p>
    <w:p w14:paraId="6155A61D" w14:textId="77777777" w:rsidR="00C076EF" w:rsidRPr="00C076EF" w:rsidRDefault="00C076EF" w:rsidP="00C076EF">
      <w:pPr>
        <w:rPr>
          <w:b/>
          <w:color w:val="46034D"/>
        </w:rPr>
      </w:pPr>
    </w:p>
    <w:p w14:paraId="6E073904" w14:textId="47B8C3E3" w:rsidR="00A876B0" w:rsidRDefault="00A876B0" w:rsidP="00C076EF"/>
    <w:sectPr w:rsidR="00A876B0">
      <w:headerReference w:type="default" r:id="rId8"/>
      <w:footerReference w:type="default" r:id="rId9"/>
      <w:footerReference w:type="first" r:id="rId10"/>
      <w:type w:val="continuous"/>
      <w:pgSz w:w="12240" w:h="15840"/>
      <w:pgMar w:top="2520" w:right="1440" w:bottom="2520" w:left="1440" w:header="648" w:footer="720" w:gutter="0"/>
      <w:cols w:space="720" w:equalWidth="0">
        <w:col w:w="9360"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9F9A106" w14:textId="77777777" w:rsidR="00894DC6" w:rsidRDefault="00894DC6">
      <w:pPr>
        <w:spacing w:before="0" w:after="0" w:line="240" w:lineRule="auto"/>
      </w:pPr>
      <w:r>
        <w:separator/>
      </w:r>
    </w:p>
  </w:endnote>
  <w:endnote w:type="continuationSeparator" w:id="0">
    <w:p w14:paraId="485D6684" w14:textId="77777777" w:rsidR="00894DC6" w:rsidRDefault="00894DC6">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Helvetica Neue">
    <w:altName w:val="Arial"/>
    <w:charset w:val="00"/>
    <w:family w:val="auto"/>
    <w:pitch w:val="default"/>
    <w:embedRegular r:id="rId1" w:fontKey="{EACDB993-E77F-4077-9A35-FD2632EF425E}"/>
    <w:embedBold r:id="rId2" w:fontKey="{D331724E-78B6-430D-A055-FEA5BAD136D6}"/>
    <w:embedItalic r:id="rId3" w:fontKey="{28D3BE54-E0BC-4743-8B6F-EE77357E516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4" w:fontKey="{41384876-D05B-4467-865E-0F8268620CAF}"/>
  </w:font>
  <w:font w:name="Calibri">
    <w:panose1 w:val="020F0502020204030204"/>
    <w:charset w:val="00"/>
    <w:family w:val="swiss"/>
    <w:pitch w:val="variable"/>
    <w:sig w:usb0="E4002EFF" w:usb1="C200247B" w:usb2="00000009" w:usb3="00000000" w:csb0="000001FF" w:csb1="00000000"/>
    <w:embedRegular r:id="rId5" w:fontKey="{556EB189-9605-4E83-A829-AF490DC1A83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724D52" w14:textId="77777777" w:rsidR="00A876B0" w:rsidRDefault="00000000">
    <w:pPr>
      <w:pStyle w:val="Title"/>
      <w:spacing w:line="204" w:lineRule="auto"/>
      <w:jc w:val="right"/>
      <w:rPr>
        <w:color w:val="46034D"/>
        <w:sz w:val="60"/>
        <w:szCs w:val="60"/>
        <w:u w:val="single"/>
      </w:rPr>
    </w:pPr>
    <w:bookmarkStart w:id="16" w:name="_8tdwtenwwemb" w:colFirst="0" w:colLast="0"/>
    <w:bookmarkEnd w:id="16"/>
    <w:r>
      <w:rPr>
        <w:color w:val="1CAA86"/>
        <w:sz w:val="20"/>
        <w:szCs w:val="20"/>
      </w:rPr>
      <w:t xml:space="preserve"> </w:t>
    </w:r>
    <w:r>
      <w:rPr>
        <w:color w:val="46034D"/>
        <w:sz w:val="60"/>
        <w:szCs w:val="60"/>
        <w:u w:val="single"/>
      </w:rPr>
      <w:fldChar w:fldCharType="begin"/>
    </w:r>
    <w:r>
      <w:rPr>
        <w:color w:val="46034D"/>
        <w:sz w:val="60"/>
        <w:szCs w:val="60"/>
        <w:u w:val="single"/>
      </w:rPr>
      <w:instrText>PAGE</w:instrText>
    </w:r>
    <w:r>
      <w:rPr>
        <w:color w:val="46034D"/>
        <w:sz w:val="60"/>
        <w:szCs w:val="60"/>
        <w:u w:val="single"/>
      </w:rPr>
      <w:fldChar w:fldCharType="separate"/>
    </w:r>
    <w:r w:rsidR="00C27D47">
      <w:rPr>
        <w:noProof/>
        <w:color w:val="46034D"/>
        <w:sz w:val="60"/>
        <w:szCs w:val="60"/>
        <w:u w:val="single"/>
      </w:rPr>
      <w:t>2</w:t>
    </w:r>
    <w:r>
      <w:rPr>
        <w:color w:val="46034D"/>
        <w:sz w:val="60"/>
        <w:szCs w:val="60"/>
        <w:u w:val="single"/>
      </w:rPr>
      <w:fldChar w:fldCharType="end"/>
    </w:r>
    <w:r>
      <w:rPr>
        <w:noProof/>
      </w:rPr>
      <w:drawing>
        <wp:anchor distT="114300" distB="114300" distL="114300" distR="114300" simplePos="0" relativeHeight="251659264" behindDoc="0" locked="0" layoutInCell="1" hidden="0" allowOverlap="1" wp14:anchorId="7DB22734" wp14:editId="3696E0D0">
          <wp:simplePos x="0" y="0"/>
          <wp:positionH relativeFrom="column">
            <wp:posOffset>-923924</wp:posOffset>
          </wp:positionH>
          <wp:positionV relativeFrom="paragraph">
            <wp:posOffset>2671549</wp:posOffset>
          </wp:positionV>
          <wp:extent cx="7786688" cy="5164640"/>
          <wp:effectExtent l="0" t="0" r="0" b="0"/>
          <wp:wrapSquare wrapText="bothSides" distT="114300" distB="114300" distL="114300" distR="114300"/>
          <wp:docPr id="17"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
                  <a:srcRect t="13099" b="-13099"/>
                  <a:stretch>
                    <a:fillRect/>
                  </a:stretch>
                </pic:blipFill>
                <pic:spPr>
                  <a:xfrm>
                    <a:off x="0" y="0"/>
                    <a:ext cx="7786688" cy="5164640"/>
                  </a:xfrm>
                  <a:prstGeom prst="rect">
                    <a:avLst/>
                  </a:prstGeom>
                  <a:ln/>
                </pic:spPr>
              </pic:pic>
            </a:graphicData>
          </a:graphic>
        </wp:anchor>
      </w:drawing>
    </w:r>
    <w:r>
      <w:rPr>
        <w:noProof/>
      </w:rPr>
      <w:drawing>
        <wp:anchor distT="114300" distB="114300" distL="114300" distR="114300" simplePos="0" relativeHeight="251660288" behindDoc="1" locked="0" layoutInCell="1" hidden="0" allowOverlap="1" wp14:anchorId="553B6D31" wp14:editId="63D8E4A3">
          <wp:simplePos x="0" y="0"/>
          <wp:positionH relativeFrom="column">
            <wp:posOffset>5267325</wp:posOffset>
          </wp:positionH>
          <wp:positionV relativeFrom="paragraph">
            <wp:posOffset>114300</wp:posOffset>
          </wp:positionV>
          <wp:extent cx="1081868" cy="540934"/>
          <wp:effectExtent l="0" t="0" r="0" b="0"/>
          <wp:wrapNone/>
          <wp:docPr id="1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t="209" b="209"/>
                  <a:stretch>
                    <a:fillRect/>
                  </a:stretch>
                </pic:blipFill>
                <pic:spPr>
                  <a:xfrm>
                    <a:off x="0" y="0"/>
                    <a:ext cx="1081868" cy="540934"/>
                  </a:xfrm>
                  <a:prstGeom prst="rect">
                    <a:avLst/>
                  </a:prstGeom>
                  <a:ln/>
                </pic:spPr>
              </pic:pic>
            </a:graphicData>
          </a:graphic>
        </wp:anchor>
      </w:drawing>
    </w:r>
    <w:r>
      <w:rPr>
        <w:noProof/>
      </w:rPr>
      <mc:AlternateContent>
        <mc:Choice Requires="wps">
          <w:drawing>
            <wp:anchor distT="114300" distB="114300" distL="114300" distR="114300" simplePos="0" relativeHeight="251661312" behindDoc="0" locked="0" layoutInCell="1" hidden="0" allowOverlap="1" wp14:anchorId="12C83A61" wp14:editId="267443B4">
              <wp:simplePos x="0" y="0"/>
              <wp:positionH relativeFrom="column">
                <wp:posOffset>-1057274</wp:posOffset>
              </wp:positionH>
              <wp:positionV relativeFrom="paragraph">
                <wp:posOffset>811041</wp:posOffset>
              </wp:positionV>
              <wp:extent cx="8058150" cy="1495223"/>
              <wp:effectExtent l="0" t="0" r="0" b="0"/>
              <wp:wrapNone/>
              <wp:docPr id="11" name="Rectangle 11"/>
              <wp:cNvGraphicFramePr/>
              <a:graphic xmlns:a="http://schemas.openxmlformats.org/drawingml/2006/main">
                <a:graphicData uri="http://schemas.microsoft.com/office/word/2010/wordprocessingShape">
                  <wps:wsp>
                    <wps:cNvSpPr/>
                    <wps:spPr>
                      <a:xfrm>
                        <a:off x="1012000" y="1152025"/>
                        <a:ext cx="7628100" cy="1403400"/>
                      </a:xfrm>
                      <a:prstGeom prst="rect">
                        <a:avLst/>
                      </a:prstGeom>
                      <a:solidFill>
                        <a:srgbClr val="46034D"/>
                      </a:solidFill>
                      <a:ln>
                        <a:noFill/>
                      </a:ln>
                    </wps:spPr>
                    <wps:txbx>
                      <w:txbxContent>
                        <w:p w14:paraId="7B1C2BCF" w14:textId="77777777" w:rsidR="00A876B0" w:rsidRDefault="00A876B0">
                          <w:pPr>
                            <w:spacing w:before="0"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12C83A61" id="Rectangle 11" o:spid="_x0000_s1028" style="position:absolute;left:0;text-align:left;margin-left:-83.25pt;margin-top:63.85pt;width:634.5pt;height:117.75pt;z-index:251661312;visibility:visible;mso-wrap-style:square;mso-wrap-distance-left:9pt;mso-wrap-distance-top:9pt;mso-wrap-distance-right:9pt;mso-wrap-distance-bottom:9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" fillcolor="#46034d" stroked="f">
              <v:textbox inset="2.53958mm,2.53958mm,2.53958mm,2.53958mm">
                <w:txbxContent>
                  <w:p w14:paraId="7B1C2BCF" w14:textId="77777777" w:rsidR="00A876B0" w:rsidRDefault="00A876B0">
                    <w:pPr>
                      <w:spacing w:before="0" w:after="0" w:line="240" w:lineRule="auto"/>
                      <w:textDirection w:val="btLr"/>
                    </w:pPr>
                  </w:p>
                </w:txbxContent>
              </v:textbox>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5C26DA" w14:textId="77777777" w:rsidR="00A876B0" w:rsidRDefault="00A876B0">
    <w:pPr>
      <w:pStyle w:val="Title"/>
      <w:spacing w:line="204" w:lineRule="auto"/>
      <w:jc w:val="right"/>
    </w:pPr>
    <w:bookmarkStart w:id="17" w:name="_9scuif7klfa9" w:colFirst="0" w:colLast="0"/>
    <w:bookmarkEnd w:id="17"/>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FD89D79" w14:textId="77777777" w:rsidR="00894DC6" w:rsidRDefault="00894DC6">
      <w:pPr>
        <w:spacing w:before="0" w:after="0" w:line="240" w:lineRule="auto"/>
      </w:pPr>
      <w:r>
        <w:separator/>
      </w:r>
    </w:p>
  </w:footnote>
  <w:footnote w:type="continuationSeparator" w:id="0">
    <w:p w14:paraId="6211D098" w14:textId="77777777" w:rsidR="00894DC6" w:rsidRDefault="00894DC6">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391347" w14:textId="7B6BB677" w:rsidR="00A876B0" w:rsidRDefault="00000000">
    <w:pPr>
      <w:spacing w:before="0"/>
      <w:jc w:val="right"/>
      <w:rPr>
        <w:color w:val="FFFFFF"/>
        <w:sz w:val="18"/>
        <w:szCs w:val="18"/>
        <w:u w:val="single"/>
      </w:rPr>
    </w:pPr>
    <w:r>
      <w:rPr>
        <w:noProof/>
        <w:color w:val="FFFFFF"/>
        <w:sz w:val="18"/>
        <w:szCs w:val="18"/>
      </w:rPr>
      <mc:AlternateContent>
        <mc:Choice Requires="wps">
          <w:drawing>
            <wp:anchor distT="114300" distB="114300" distL="114300" distR="114300" simplePos="0" relativeHeight="251658240" behindDoc="1" locked="0" layoutInCell="1" hidden="0" allowOverlap="1" wp14:anchorId="177C0599" wp14:editId="0BEF7D9A">
              <wp:simplePos x="0" y="0"/>
              <wp:positionH relativeFrom="page">
                <wp:posOffset>-142874</wp:posOffset>
              </wp:positionH>
              <wp:positionV relativeFrom="page">
                <wp:posOffset>4763</wp:posOffset>
              </wp:positionV>
              <wp:extent cx="8058150" cy="962025"/>
              <wp:effectExtent l="0" t="0" r="0" b="0"/>
              <wp:wrapNone/>
              <wp:docPr id="8" name="Rectangle 8"/>
              <wp:cNvGraphicFramePr/>
              <a:graphic xmlns:a="http://schemas.openxmlformats.org/drawingml/2006/main">
                <a:graphicData uri="http://schemas.microsoft.com/office/word/2010/wordprocessingShape">
                  <wps:wsp>
                    <wps:cNvSpPr/>
                    <wps:spPr>
                      <a:xfrm>
                        <a:off x="1012000" y="1152025"/>
                        <a:ext cx="7628100" cy="1403400"/>
                      </a:xfrm>
                      <a:prstGeom prst="rect">
                        <a:avLst/>
                      </a:prstGeom>
                      <a:solidFill>
                        <a:srgbClr val="46034D"/>
                      </a:solidFill>
                      <a:ln>
                        <a:noFill/>
                      </a:ln>
                    </wps:spPr>
                    <wps:txbx>
                      <w:txbxContent>
                        <w:p w14:paraId="61A241D1" w14:textId="77777777" w:rsidR="00A876B0" w:rsidRDefault="00A876B0">
                          <w:pPr>
                            <w:spacing w:before="0"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177C0599" id="Rectangle 8" o:spid="_x0000_s1027" style="position:absolute;left:0;text-align:left;margin-left:-11.25pt;margin-top:.4pt;width:634.5pt;height:75.75pt;z-index:-251658240;visibility:visible;mso-wrap-style:square;mso-wrap-distance-left:9pt;mso-wrap-distance-top:9pt;mso-wrap-distance-right:9pt;mso-wrap-distance-bottom:9pt;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" fillcolor="#46034d" stroked="f">
              <v:textbox inset="2.53958mm,2.53958mm,2.53958mm,2.53958mm">
                <w:txbxContent>
                  <w:p w14:paraId="61A241D1" w14:textId="77777777" w:rsidR="00A876B0" w:rsidRDefault="00A876B0">
                    <w:pPr>
                      <w:spacing w:before="0" w:after="0" w:line="240" w:lineRule="auto"/>
                      <w:textDirection w:val="btLr"/>
                    </w:pPr>
                  </w:p>
                </w:txbxContent>
              </v:textbox>
              <w10:wrap anchorx="page" anchory="page"/>
            </v:rect>
          </w:pict>
        </mc:Fallback>
      </mc:AlternateContent>
    </w:r>
    <w:r w:rsidR="00C076EF">
      <w:rPr>
        <w:color w:val="FFFFFF"/>
        <w:sz w:val="18"/>
        <w:szCs w:val="18"/>
      </w:rPr>
      <w:t>ZENF</w:t>
    </w:r>
    <w:r w:rsidR="00166D0B">
      <w:rPr>
        <w:color w:val="FFFFFF"/>
        <w:sz w:val="18"/>
        <w:szCs w:val="18"/>
      </w:rPr>
      <w:t>INVEST</w:t>
    </w:r>
    <w:r>
      <w:rPr>
        <w:color w:val="FFFFFF"/>
        <w:sz w:val="18"/>
        <w:szCs w:val="18"/>
      </w:rPr>
      <w:t xml:space="preserve">: </w:t>
    </w:r>
    <w:r>
      <w:rPr>
        <w:color w:val="FFFFFF"/>
        <w:sz w:val="18"/>
        <w:szCs w:val="18"/>
        <w:u w:val="single"/>
      </w:rPr>
      <w:t xml:space="preserve">BUSINESS PLAN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0F4CBE"/>
    <w:multiLevelType w:val="multilevel"/>
    <w:tmpl w:val="95D46D72"/>
    <w:lvl w:ilvl="0">
      <w:start w:val="1"/>
      <w:numFmt w:val="bullet"/>
      <w:lvlText w:val="●"/>
      <w:lvlJc w:val="left"/>
      <w:pPr>
        <w:ind w:left="720" w:hanging="360"/>
      </w:pPr>
      <w:rPr>
        <w:color w:val="46034D"/>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5301FD2"/>
    <w:multiLevelType w:val="multilevel"/>
    <w:tmpl w:val="FED26ED0"/>
    <w:lvl w:ilvl="0">
      <w:start w:val="1"/>
      <w:numFmt w:val="bullet"/>
      <w:lvlText w:val="●"/>
      <w:lvlJc w:val="left"/>
      <w:pPr>
        <w:ind w:left="720" w:hanging="360"/>
      </w:pPr>
      <w:rPr>
        <w:color w:val="46034D"/>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6FA5784"/>
    <w:multiLevelType w:val="multilevel"/>
    <w:tmpl w:val="5D9806FC"/>
    <w:lvl w:ilvl="0">
      <w:start w:val="1"/>
      <w:numFmt w:val="bullet"/>
      <w:lvlText w:val="●"/>
      <w:lvlJc w:val="left"/>
      <w:pPr>
        <w:ind w:left="720" w:hanging="360"/>
      </w:pPr>
      <w:rPr>
        <w:color w:val="46034D"/>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92466D7"/>
    <w:multiLevelType w:val="multilevel"/>
    <w:tmpl w:val="0578339A"/>
    <w:lvl w:ilvl="0">
      <w:start w:val="1"/>
      <w:numFmt w:val="bullet"/>
      <w:lvlText w:val="●"/>
      <w:lvlJc w:val="left"/>
      <w:pPr>
        <w:ind w:left="720" w:hanging="360"/>
      </w:pPr>
      <w:rPr>
        <w:color w:val="46034D"/>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9756FBA"/>
    <w:multiLevelType w:val="multilevel"/>
    <w:tmpl w:val="2744C478"/>
    <w:lvl w:ilvl="0">
      <w:start w:val="1"/>
      <w:numFmt w:val="bullet"/>
      <w:lvlText w:val="●"/>
      <w:lvlJc w:val="left"/>
      <w:pPr>
        <w:ind w:left="720" w:hanging="360"/>
      </w:pPr>
      <w:rPr>
        <w:color w:val="46034D"/>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BFE46D4"/>
    <w:multiLevelType w:val="multilevel"/>
    <w:tmpl w:val="DDA0F9D8"/>
    <w:lvl w:ilvl="0">
      <w:start w:val="1"/>
      <w:numFmt w:val="bullet"/>
      <w:lvlText w:val="●"/>
      <w:lvlJc w:val="left"/>
      <w:pPr>
        <w:ind w:left="720" w:hanging="360"/>
      </w:pPr>
      <w:rPr>
        <w:rFonts w:ascii="Helvetica Neue" w:eastAsia="Helvetica Neue" w:hAnsi="Helvetica Neue" w:cs="Helvetica Neue"/>
        <w:b w:val="0"/>
        <w:color w:val="46034D"/>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0F810A9B"/>
    <w:multiLevelType w:val="multilevel"/>
    <w:tmpl w:val="1B4ED3D8"/>
    <w:lvl w:ilvl="0">
      <w:start w:val="1"/>
      <w:numFmt w:val="decimal"/>
      <w:lvlText w:val="%1."/>
      <w:lvlJc w:val="left"/>
      <w:pPr>
        <w:ind w:left="720" w:hanging="360"/>
      </w:pPr>
      <w:rPr>
        <w:rFonts w:ascii="Arial" w:eastAsia="Arial" w:hAnsi="Arial" w:cs="Arial"/>
        <w:b/>
        <w:color w:val="46034D"/>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 w15:restartNumberingAfterBreak="0">
    <w:nsid w:val="15D8234F"/>
    <w:multiLevelType w:val="multilevel"/>
    <w:tmpl w:val="7D4E89F6"/>
    <w:lvl w:ilvl="0">
      <w:start w:val="1"/>
      <w:numFmt w:val="bullet"/>
      <w:lvlText w:val="●"/>
      <w:lvlJc w:val="left"/>
      <w:pPr>
        <w:ind w:left="720" w:hanging="360"/>
      </w:pPr>
      <w:rPr>
        <w:color w:val="46034D"/>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75016B0"/>
    <w:multiLevelType w:val="multilevel"/>
    <w:tmpl w:val="2C0E6196"/>
    <w:lvl w:ilvl="0">
      <w:start w:val="1"/>
      <w:numFmt w:val="bullet"/>
      <w:lvlText w:val="●"/>
      <w:lvlJc w:val="left"/>
      <w:pPr>
        <w:ind w:left="720" w:hanging="360"/>
      </w:pPr>
      <w:rPr>
        <w:color w:val="46034D"/>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0CE3F87"/>
    <w:multiLevelType w:val="multilevel"/>
    <w:tmpl w:val="AB30FABC"/>
    <w:lvl w:ilvl="0">
      <w:start w:val="1"/>
      <w:numFmt w:val="bullet"/>
      <w:lvlText w:val="●"/>
      <w:lvlJc w:val="left"/>
      <w:pPr>
        <w:ind w:left="720" w:hanging="360"/>
      </w:pPr>
      <w:rPr>
        <w:color w:val="46034D"/>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23314CCA"/>
    <w:multiLevelType w:val="multilevel"/>
    <w:tmpl w:val="6DFA93E0"/>
    <w:lvl w:ilvl="0">
      <w:start w:val="1"/>
      <w:numFmt w:val="bullet"/>
      <w:lvlText w:val="●"/>
      <w:lvlJc w:val="left"/>
      <w:pPr>
        <w:ind w:left="720" w:hanging="360"/>
      </w:pPr>
      <w:rPr>
        <w:color w:val="46034D"/>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270F3248"/>
    <w:multiLevelType w:val="multilevel"/>
    <w:tmpl w:val="4F48E934"/>
    <w:lvl w:ilvl="0">
      <w:start w:val="1"/>
      <w:numFmt w:val="bullet"/>
      <w:lvlText w:val="●"/>
      <w:lvlJc w:val="left"/>
      <w:pPr>
        <w:ind w:left="720" w:hanging="360"/>
      </w:pPr>
      <w:rPr>
        <w:color w:val="46034D"/>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28394B8D"/>
    <w:multiLevelType w:val="multilevel"/>
    <w:tmpl w:val="5D0286A4"/>
    <w:lvl w:ilvl="0">
      <w:start w:val="1"/>
      <w:numFmt w:val="bullet"/>
      <w:lvlText w:val="●"/>
      <w:lvlJc w:val="left"/>
      <w:pPr>
        <w:ind w:left="720" w:hanging="360"/>
      </w:pPr>
      <w:rPr>
        <w:color w:val="46034D"/>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299F7FFC"/>
    <w:multiLevelType w:val="multilevel"/>
    <w:tmpl w:val="70E447CA"/>
    <w:lvl w:ilvl="0">
      <w:start w:val="1"/>
      <w:numFmt w:val="decimal"/>
      <w:lvlText w:val="%1."/>
      <w:lvlJc w:val="left"/>
      <w:pPr>
        <w:ind w:left="720" w:hanging="360"/>
      </w:pPr>
      <w:rPr>
        <w:rFonts w:ascii="Helvetica Neue" w:eastAsia="Helvetica Neue" w:hAnsi="Helvetica Neue" w:cs="Helvetica Neue"/>
        <w:b/>
        <w:color w:val="46034D"/>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4" w15:restartNumberingAfterBreak="0">
    <w:nsid w:val="2BD96217"/>
    <w:multiLevelType w:val="multilevel"/>
    <w:tmpl w:val="A10E3EA4"/>
    <w:lvl w:ilvl="0">
      <w:start w:val="1"/>
      <w:numFmt w:val="bullet"/>
      <w:lvlText w:val="●"/>
      <w:lvlJc w:val="left"/>
      <w:pPr>
        <w:ind w:left="720" w:hanging="360"/>
      </w:pPr>
      <w:rPr>
        <w:color w:val="46034D"/>
        <w:sz w:val="18"/>
        <w:szCs w:val="18"/>
        <w:u w:val="none"/>
      </w:rPr>
    </w:lvl>
    <w:lvl w:ilvl="1">
      <w:start w:val="1"/>
      <w:numFmt w:val="bullet"/>
      <w:lvlText w:val="○"/>
      <w:lvlJc w:val="left"/>
      <w:pPr>
        <w:ind w:left="1440" w:hanging="360"/>
      </w:pPr>
      <w:rPr>
        <w:color w:val="46034D"/>
        <w:sz w:val="18"/>
        <w:szCs w:val="18"/>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2E47036D"/>
    <w:multiLevelType w:val="multilevel"/>
    <w:tmpl w:val="2B6C27FA"/>
    <w:lvl w:ilvl="0">
      <w:start w:val="1"/>
      <w:numFmt w:val="bullet"/>
      <w:lvlText w:val="●"/>
      <w:lvlJc w:val="left"/>
      <w:pPr>
        <w:ind w:left="720" w:hanging="360"/>
      </w:pPr>
      <w:rPr>
        <w:color w:val="46034D"/>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329C4C53"/>
    <w:multiLevelType w:val="multilevel"/>
    <w:tmpl w:val="8828FEAA"/>
    <w:lvl w:ilvl="0">
      <w:start w:val="1"/>
      <w:numFmt w:val="bullet"/>
      <w:lvlText w:val="●"/>
      <w:lvlJc w:val="left"/>
      <w:pPr>
        <w:ind w:left="720" w:hanging="360"/>
      </w:pPr>
      <w:rPr>
        <w:color w:val="46034D"/>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33C67147"/>
    <w:multiLevelType w:val="multilevel"/>
    <w:tmpl w:val="DEA4C9AA"/>
    <w:lvl w:ilvl="0">
      <w:start w:val="1"/>
      <w:numFmt w:val="bullet"/>
      <w:lvlText w:val="●"/>
      <w:lvlJc w:val="left"/>
      <w:pPr>
        <w:ind w:left="720" w:hanging="360"/>
      </w:pPr>
      <w:rPr>
        <w:rFonts w:ascii="Helvetica Neue" w:eastAsia="Helvetica Neue" w:hAnsi="Helvetica Neue" w:cs="Helvetica Neue"/>
        <w:b w:val="0"/>
        <w:color w:val="46034D"/>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34100D0D"/>
    <w:multiLevelType w:val="multilevel"/>
    <w:tmpl w:val="D5C4523C"/>
    <w:lvl w:ilvl="0">
      <w:start w:val="1"/>
      <w:numFmt w:val="bullet"/>
      <w:lvlText w:val="●"/>
      <w:lvlJc w:val="left"/>
      <w:pPr>
        <w:ind w:left="720" w:hanging="360"/>
      </w:pPr>
      <w:rPr>
        <w:color w:val="46034D"/>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34986327"/>
    <w:multiLevelType w:val="multilevel"/>
    <w:tmpl w:val="51D27DCE"/>
    <w:lvl w:ilvl="0">
      <w:start w:val="1"/>
      <w:numFmt w:val="decimal"/>
      <w:lvlText w:val="%1."/>
      <w:lvlJc w:val="left"/>
      <w:pPr>
        <w:ind w:left="720" w:hanging="360"/>
      </w:pPr>
      <w:rPr>
        <w:rFonts w:ascii="Helvetica Neue" w:eastAsia="Helvetica Neue" w:hAnsi="Helvetica Neue" w:cs="Helvetica Neue"/>
        <w:b/>
        <w:color w:val="46034D"/>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15:restartNumberingAfterBreak="0">
    <w:nsid w:val="39D02A6A"/>
    <w:multiLevelType w:val="multilevel"/>
    <w:tmpl w:val="DA14CA74"/>
    <w:lvl w:ilvl="0">
      <w:start w:val="1"/>
      <w:numFmt w:val="bullet"/>
      <w:lvlText w:val="●"/>
      <w:lvlJc w:val="left"/>
      <w:pPr>
        <w:ind w:left="720" w:hanging="360"/>
      </w:pPr>
      <w:rPr>
        <w:color w:val="46034D"/>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3AF17B49"/>
    <w:multiLevelType w:val="multilevel"/>
    <w:tmpl w:val="D8E6755E"/>
    <w:lvl w:ilvl="0">
      <w:start w:val="1"/>
      <w:numFmt w:val="bullet"/>
      <w:lvlText w:val="●"/>
      <w:lvlJc w:val="left"/>
      <w:pPr>
        <w:ind w:left="720" w:hanging="360"/>
      </w:pPr>
      <w:rPr>
        <w:color w:val="46034D"/>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3B810EFA"/>
    <w:multiLevelType w:val="multilevel"/>
    <w:tmpl w:val="81E8047E"/>
    <w:lvl w:ilvl="0">
      <w:start w:val="1"/>
      <w:numFmt w:val="bullet"/>
      <w:lvlText w:val="●"/>
      <w:lvlJc w:val="left"/>
      <w:pPr>
        <w:ind w:left="720" w:hanging="360"/>
      </w:pPr>
      <w:rPr>
        <w:rFonts w:ascii="Helvetica Neue" w:eastAsia="Helvetica Neue" w:hAnsi="Helvetica Neue" w:cs="Helvetica Neue"/>
        <w:b w:val="0"/>
        <w:color w:val="46034D"/>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3C2C281A"/>
    <w:multiLevelType w:val="multilevel"/>
    <w:tmpl w:val="40DE0928"/>
    <w:lvl w:ilvl="0">
      <w:start w:val="1"/>
      <w:numFmt w:val="bullet"/>
      <w:lvlText w:val="●"/>
      <w:lvlJc w:val="left"/>
      <w:pPr>
        <w:ind w:left="720" w:hanging="360"/>
      </w:pPr>
      <w:rPr>
        <w:color w:val="46034D"/>
        <w:sz w:val="18"/>
        <w:szCs w:val="18"/>
        <w:u w:val="none"/>
      </w:rPr>
    </w:lvl>
    <w:lvl w:ilvl="1">
      <w:start w:val="1"/>
      <w:numFmt w:val="bullet"/>
      <w:lvlText w:val="○"/>
      <w:lvlJc w:val="left"/>
      <w:pPr>
        <w:ind w:left="1440" w:hanging="360"/>
      </w:pPr>
      <w:rPr>
        <w:rFonts w:ascii="Helvetica Neue" w:eastAsia="Helvetica Neue" w:hAnsi="Helvetica Neue" w:cs="Helvetica Neue"/>
        <w:b w:val="0"/>
        <w:color w:val="46034D"/>
        <w:sz w:val="18"/>
        <w:szCs w:val="18"/>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3CD0401A"/>
    <w:multiLevelType w:val="multilevel"/>
    <w:tmpl w:val="C32E3780"/>
    <w:lvl w:ilvl="0">
      <w:start w:val="1"/>
      <w:numFmt w:val="bullet"/>
      <w:lvlText w:val="●"/>
      <w:lvlJc w:val="left"/>
      <w:pPr>
        <w:ind w:left="720" w:hanging="360"/>
      </w:pPr>
      <w:rPr>
        <w:color w:val="46034D"/>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40584436"/>
    <w:multiLevelType w:val="multilevel"/>
    <w:tmpl w:val="052E29E4"/>
    <w:lvl w:ilvl="0">
      <w:start w:val="1"/>
      <w:numFmt w:val="bullet"/>
      <w:lvlText w:val="●"/>
      <w:lvlJc w:val="left"/>
      <w:pPr>
        <w:ind w:left="720" w:hanging="360"/>
      </w:pPr>
      <w:rPr>
        <w:color w:val="46034D"/>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441C18B1"/>
    <w:multiLevelType w:val="multilevel"/>
    <w:tmpl w:val="0AEE93B0"/>
    <w:lvl w:ilvl="0">
      <w:start w:val="1"/>
      <w:numFmt w:val="bullet"/>
      <w:lvlText w:val="●"/>
      <w:lvlJc w:val="left"/>
      <w:pPr>
        <w:ind w:left="720" w:hanging="360"/>
      </w:pPr>
      <w:rPr>
        <w:color w:val="46034D"/>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46FC07E7"/>
    <w:multiLevelType w:val="multilevel"/>
    <w:tmpl w:val="999C6790"/>
    <w:lvl w:ilvl="0">
      <w:start w:val="1"/>
      <w:numFmt w:val="decimal"/>
      <w:lvlText w:val="%1."/>
      <w:lvlJc w:val="left"/>
      <w:pPr>
        <w:ind w:left="720" w:hanging="360"/>
      </w:pPr>
      <w:rPr>
        <w:rFonts w:ascii="Helvetica Neue" w:eastAsia="Helvetica Neue" w:hAnsi="Helvetica Neue" w:cs="Helvetica Neue"/>
        <w:b/>
        <w:color w:val="46034D"/>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8" w15:restartNumberingAfterBreak="0">
    <w:nsid w:val="49120E24"/>
    <w:multiLevelType w:val="multilevel"/>
    <w:tmpl w:val="6F7415A4"/>
    <w:lvl w:ilvl="0">
      <w:start w:val="1"/>
      <w:numFmt w:val="bullet"/>
      <w:lvlText w:val="●"/>
      <w:lvlJc w:val="left"/>
      <w:pPr>
        <w:ind w:left="720" w:hanging="360"/>
      </w:pPr>
      <w:rPr>
        <w:color w:val="46034D"/>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55044E6F"/>
    <w:multiLevelType w:val="multilevel"/>
    <w:tmpl w:val="735E7B78"/>
    <w:lvl w:ilvl="0">
      <w:start w:val="1"/>
      <w:numFmt w:val="bullet"/>
      <w:lvlText w:val="●"/>
      <w:lvlJc w:val="left"/>
      <w:pPr>
        <w:ind w:left="720" w:hanging="360"/>
      </w:pPr>
      <w:rPr>
        <w:color w:val="46034D"/>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5B952AB7"/>
    <w:multiLevelType w:val="multilevel"/>
    <w:tmpl w:val="DDF247C8"/>
    <w:lvl w:ilvl="0">
      <w:start w:val="1"/>
      <w:numFmt w:val="bullet"/>
      <w:lvlText w:val="●"/>
      <w:lvlJc w:val="left"/>
      <w:pPr>
        <w:ind w:left="1440" w:hanging="360"/>
      </w:pPr>
      <w:rPr>
        <w:color w:val="46034D"/>
        <w:sz w:val="18"/>
        <w:szCs w:val="18"/>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1" w15:restartNumberingAfterBreak="0">
    <w:nsid w:val="5EB87717"/>
    <w:multiLevelType w:val="multilevel"/>
    <w:tmpl w:val="23106490"/>
    <w:lvl w:ilvl="0">
      <w:start w:val="1"/>
      <w:numFmt w:val="bullet"/>
      <w:lvlText w:val="●"/>
      <w:lvlJc w:val="left"/>
      <w:pPr>
        <w:ind w:left="720" w:hanging="360"/>
      </w:pPr>
      <w:rPr>
        <w:color w:val="46034D"/>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62703358"/>
    <w:multiLevelType w:val="multilevel"/>
    <w:tmpl w:val="D1986750"/>
    <w:lvl w:ilvl="0">
      <w:start w:val="1"/>
      <w:numFmt w:val="bullet"/>
      <w:lvlText w:val="●"/>
      <w:lvlJc w:val="left"/>
      <w:pPr>
        <w:ind w:left="720" w:hanging="360"/>
      </w:pPr>
      <w:rPr>
        <w:color w:val="46034D"/>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63BC6F7A"/>
    <w:multiLevelType w:val="multilevel"/>
    <w:tmpl w:val="D0F6FAF0"/>
    <w:lvl w:ilvl="0">
      <w:start w:val="1"/>
      <w:numFmt w:val="bullet"/>
      <w:lvlText w:val="●"/>
      <w:lvlJc w:val="left"/>
      <w:pPr>
        <w:ind w:left="720" w:hanging="360"/>
      </w:pPr>
      <w:rPr>
        <w:rFonts w:ascii="Helvetica Neue" w:eastAsia="Helvetica Neue" w:hAnsi="Helvetica Neue" w:cs="Helvetica Neue"/>
        <w:b w:val="0"/>
        <w:color w:val="46034D"/>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67DA5288"/>
    <w:multiLevelType w:val="multilevel"/>
    <w:tmpl w:val="DA6E33B0"/>
    <w:lvl w:ilvl="0">
      <w:start w:val="1"/>
      <w:numFmt w:val="bullet"/>
      <w:lvlText w:val="●"/>
      <w:lvlJc w:val="left"/>
      <w:pPr>
        <w:ind w:left="720" w:hanging="360"/>
      </w:pPr>
      <w:rPr>
        <w:rFonts w:ascii="Helvetica Neue" w:eastAsia="Helvetica Neue" w:hAnsi="Helvetica Neue" w:cs="Helvetica Neue"/>
        <w:b w:val="0"/>
        <w:color w:val="46034D"/>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71033E9D"/>
    <w:multiLevelType w:val="multilevel"/>
    <w:tmpl w:val="BE8E0944"/>
    <w:lvl w:ilvl="0">
      <w:start w:val="1"/>
      <w:numFmt w:val="bullet"/>
      <w:lvlText w:val="●"/>
      <w:lvlJc w:val="left"/>
      <w:pPr>
        <w:ind w:left="720" w:hanging="360"/>
      </w:pPr>
      <w:rPr>
        <w:color w:val="46034D"/>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786E55D7"/>
    <w:multiLevelType w:val="multilevel"/>
    <w:tmpl w:val="E6224708"/>
    <w:lvl w:ilvl="0">
      <w:start w:val="1"/>
      <w:numFmt w:val="bullet"/>
      <w:lvlText w:val="●"/>
      <w:lvlJc w:val="left"/>
      <w:pPr>
        <w:ind w:left="720" w:hanging="360"/>
      </w:pPr>
      <w:rPr>
        <w:color w:val="46034D"/>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798539C4"/>
    <w:multiLevelType w:val="multilevel"/>
    <w:tmpl w:val="C3D8B64A"/>
    <w:lvl w:ilvl="0">
      <w:start w:val="1"/>
      <w:numFmt w:val="bullet"/>
      <w:lvlText w:val="●"/>
      <w:lvlJc w:val="left"/>
      <w:pPr>
        <w:ind w:left="720" w:hanging="360"/>
      </w:pPr>
      <w:rPr>
        <w:color w:val="46034D"/>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7CF17EF8"/>
    <w:multiLevelType w:val="multilevel"/>
    <w:tmpl w:val="99D65632"/>
    <w:lvl w:ilvl="0">
      <w:start w:val="1"/>
      <w:numFmt w:val="bullet"/>
      <w:lvlText w:val="●"/>
      <w:lvlJc w:val="left"/>
      <w:pPr>
        <w:ind w:left="720" w:hanging="360"/>
      </w:pPr>
      <w:rPr>
        <w:color w:val="46034D"/>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949963689">
    <w:abstractNumId w:val="31"/>
  </w:num>
  <w:num w:numId="2" w16cid:durableId="123694417">
    <w:abstractNumId w:val="10"/>
  </w:num>
  <w:num w:numId="3" w16cid:durableId="822742433">
    <w:abstractNumId w:val="12"/>
  </w:num>
  <w:num w:numId="4" w16cid:durableId="1541934607">
    <w:abstractNumId w:val="32"/>
  </w:num>
  <w:num w:numId="5" w16cid:durableId="1082874330">
    <w:abstractNumId w:val="5"/>
  </w:num>
  <w:num w:numId="6" w16cid:durableId="217670989">
    <w:abstractNumId w:val="16"/>
  </w:num>
  <w:num w:numId="7" w16cid:durableId="256406533">
    <w:abstractNumId w:val="17"/>
  </w:num>
  <w:num w:numId="8" w16cid:durableId="1870026918">
    <w:abstractNumId w:val="7"/>
  </w:num>
  <w:num w:numId="9" w16cid:durableId="459306428">
    <w:abstractNumId w:val="3"/>
  </w:num>
  <w:num w:numId="10" w16cid:durableId="1861504372">
    <w:abstractNumId w:val="38"/>
  </w:num>
  <w:num w:numId="11" w16cid:durableId="1239559989">
    <w:abstractNumId w:val="24"/>
  </w:num>
  <w:num w:numId="12" w16cid:durableId="1669945160">
    <w:abstractNumId w:val="1"/>
  </w:num>
  <w:num w:numId="13" w16cid:durableId="1718159484">
    <w:abstractNumId w:val="30"/>
  </w:num>
  <w:num w:numId="14" w16cid:durableId="322927663">
    <w:abstractNumId w:val="0"/>
  </w:num>
  <w:num w:numId="15" w16cid:durableId="543100281">
    <w:abstractNumId w:val="29"/>
  </w:num>
  <w:num w:numId="16" w16cid:durableId="384647716">
    <w:abstractNumId w:val="35"/>
  </w:num>
  <w:num w:numId="17" w16cid:durableId="552278706">
    <w:abstractNumId w:val="6"/>
  </w:num>
  <w:num w:numId="18" w16cid:durableId="797800193">
    <w:abstractNumId w:val="23"/>
  </w:num>
  <w:num w:numId="19" w16cid:durableId="689991776">
    <w:abstractNumId w:val="4"/>
  </w:num>
  <w:num w:numId="20" w16cid:durableId="1314601542">
    <w:abstractNumId w:val="8"/>
  </w:num>
  <w:num w:numId="21" w16cid:durableId="1885481768">
    <w:abstractNumId w:val="2"/>
  </w:num>
  <w:num w:numId="22" w16cid:durableId="467747957">
    <w:abstractNumId w:val="37"/>
  </w:num>
  <w:num w:numId="23" w16cid:durableId="1002666184">
    <w:abstractNumId w:val="13"/>
  </w:num>
  <w:num w:numId="24" w16cid:durableId="1134523146">
    <w:abstractNumId w:val="36"/>
  </w:num>
  <w:num w:numId="25" w16cid:durableId="1480996878">
    <w:abstractNumId w:val="28"/>
  </w:num>
  <w:num w:numId="26" w16cid:durableId="443497359">
    <w:abstractNumId w:val="19"/>
  </w:num>
  <w:num w:numId="27" w16cid:durableId="2041780506">
    <w:abstractNumId w:val="22"/>
  </w:num>
  <w:num w:numId="28" w16cid:durableId="942152932">
    <w:abstractNumId w:val="14"/>
  </w:num>
  <w:num w:numId="29" w16cid:durableId="1223253476">
    <w:abstractNumId w:val="26"/>
  </w:num>
  <w:num w:numId="30" w16cid:durableId="286469880">
    <w:abstractNumId w:val="33"/>
  </w:num>
  <w:num w:numId="31" w16cid:durableId="1912150832">
    <w:abstractNumId w:val="21"/>
  </w:num>
  <w:num w:numId="32" w16cid:durableId="37291231">
    <w:abstractNumId w:val="34"/>
  </w:num>
  <w:num w:numId="33" w16cid:durableId="2043087602">
    <w:abstractNumId w:val="18"/>
  </w:num>
  <w:num w:numId="34" w16cid:durableId="2008365782">
    <w:abstractNumId w:val="25"/>
  </w:num>
  <w:num w:numId="35" w16cid:durableId="1070614748">
    <w:abstractNumId w:val="27"/>
  </w:num>
  <w:num w:numId="36" w16cid:durableId="1570916373">
    <w:abstractNumId w:val="20"/>
  </w:num>
  <w:num w:numId="37" w16cid:durableId="912591496">
    <w:abstractNumId w:val="9"/>
  </w:num>
  <w:num w:numId="38" w16cid:durableId="1734427995">
    <w:abstractNumId w:val="11"/>
  </w:num>
  <w:num w:numId="39" w16cid:durableId="119538471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76B0"/>
    <w:rsid w:val="0007032E"/>
    <w:rsid w:val="00166D0B"/>
    <w:rsid w:val="002376B8"/>
    <w:rsid w:val="002606DD"/>
    <w:rsid w:val="0026765D"/>
    <w:rsid w:val="00327D06"/>
    <w:rsid w:val="003422F7"/>
    <w:rsid w:val="003D562A"/>
    <w:rsid w:val="004D5EA1"/>
    <w:rsid w:val="004F67A8"/>
    <w:rsid w:val="00877270"/>
    <w:rsid w:val="0088795E"/>
    <w:rsid w:val="00894DC6"/>
    <w:rsid w:val="00A71C08"/>
    <w:rsid w:val="00A876B0"/>
    <w:rsid w:val="00AC5213"/>
    <w:rsid w:val="00B27078"/>
    <w:rsid w:val="00C076EF"/>
    <w:rsid w:val="00C27D47"/>
    <w:rsid w:val="00C81944"/>
    <w:rsid w:val="00ED453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2A12CC"/>
  <w15:docId w15:val="{E1D6F0FF-CFAB-4E30-821C-1E1E8E82BB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Helvetica Neue" w:eastAsia="Helvetica Neue" w:hAnsi="Helvetica Neue" w:cs="Helvetica Neue"/>
        <w:color w:val="212326"/>
        <w:sz w:val="22"/>
        <w:szCs w:val="22"/>
        <w:lang w:val="en" w:eastAsia="en-GB" w:bidi="ar-SA"/>
      </w:rPr>
    </w:rPrDefault>
    <w:pPrDefault>
      <w:pPr>
        <w:spacing w:before="200" w:after="200" w:line="31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240" w:after="240" w:line="240" w:lineRule="auto"/>
      <w:outlineLvl w:val="1"/>
    </w:pPr>
    <w:rPr>
      <w:sz w:val="60"/>
      <w:szCs w:val="60"/>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unhideWhenUsed/>
    <w:qFormat/>
    <w:pPr>
      <w:keepNext/>
      <w:keepLines/>
      <w:spacing w:before="700" w:line="360" w:lineRule="auto"/>
      <w:outlineLvl w:val="3"/>
    </w:pPr>
    <w:rPr>
      <w:sz w:val="28"/>
      <w:szCs w:val="28"/>
    </w:rPr>
  </w:style>
  <w:style w:type="paragraph" w:styleId="Heading5">
    <w:name w:val="heading 5"/>
    <w:basedOn w:val="Normal"/>
    <w:next w:val="Normal"/>
    <w:uiPriority w:val="9"/>
    <w:unhideWhenUsed/>
    <w:qFormat/>
    <w:pPr>
      <w:keepNext/>
      <w:keepLines/>
      <w:spacing w:before="400"/>
      <w:outlineLvl w:val="4"/>
    </w:pPr>
    <w:rPr>
      <w:b/>
      <w:color w:val="1CAA8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0" w:after="60"/>
    </w:pPr>
    <w:rPr>
      <w:sz w:val="52"/>
      <w:szCs w:val="52"/>
    </w:rPr>
  </w:style>
  <w:style w:type="paragraph" w:styleId="Subtitle">
    <w:name w:val="Subtitle"/>
    <w:basedOn w:val="Normal"/>
    <w:next w:val="Normal"/>
    <w:uiPriority w:val="11"/>
    <w:qFormat/>
    <w:pPr>
      <w:keepNext/>
      <w:keepLines/>
      <w:spacing w:before="0" w:after="320"/>
    </w:pPr>
    <w:rPr>
      <w:rFonts w:ascii="Arial" w:eastAsia="Arial" w:hAnsi="Arial" w:cs="Arial"/>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166D0B"/>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166D0B"/>
  </w:style>
  <w:style w:type="paragraph" w:styleId="Footer">
    <w:name w:val="footer"/>
    <w:basedOn w:val="Normal"/>
    <w:link w:val="FooterChar"/>
    <w:uiPriority w:val="99"/>
    <w:unhideWhenUsed/>
    <w:rsid w:val="00166D0B"/>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166D0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1014</Words>
  <Characters>5784</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Dassanayake, Priyanthi M.</cp:lastModifiedBy>
  <cp:revision>2</cp:revision>
  <dcterms:created xsi:type="dcterms:W3CDTF">2024-08-05T01:54:00Z</dcterms:created>
  <dcterms:modified xsi:type="dcterms:W3CDTF">2024-08-05T01:54:00Z</dcterms:modified>
</cp:coreProperties>
</file>